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B84EBC">
                              <w:t>1</w:t>
                            </w:r>
                            <w:r w:rsidR="003C5FE9">
                              <w:t>D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B84EBC">
                        <w:t>1</w:t>
                      </w:r>
                      <w:r w:rsidR="003C5FE9"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FA3BCB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FA3BCB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3C5FE9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sz w:val="200"/>
                                <w:szCs w:val="200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3C5FE9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>
                        <w:rPr>
                          <w:sz w:val="200"/>
                          <w:szCs w:val="20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2E2FC8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FA3BCB">
              <w:rPr>
                <w:sz w:val="28"/>
                <w:szCs w:val="28"/>
                <w:lang w:eastAsia="it-IT"/>
              </w:rPr>
              <w:t>1</w:t>
            </w:r>
            <w:r w:rsidR="003C5FE9">
              <w:rPr>
                <w:sz w:val="28"/>
                <w:szCs w:val="28"/>
                <w:lang w:eastAsia="it-IT"/>
              </w:rPr>
              <w:t>D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BD7988" w:rsidRPr="00BD7988" w:rsidRDefault="00BD7988" w:rsidP="00BD7988">
      <w:pPr>
        <w:pStyle w:val="NormaleWeb"/>
        <w:spacing w:before="0" w:beforeAutospacing="0" w:after="0" w:afterAutospacing="0"/>
        <w:contextualSpacing/>
        <w:jc w:val="both"/>
        <w:rPr>
          <w:rFonts w:ascii="Tahoma" w:hAnsi="Tahoma" w:cs="Tahoma"/>
          <w:b/>
          <w:sz w:val="20"/>
          <w:szCs w:val="20"/>
          <w:highlight w:val="yellow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L'unità di misura della pressione arteriosa è:</w:t>
      </w:r>
    </w:p>
    <w:p w:rsidR="00A60DF4" w:rsidRPr="00FA3BCB" w:rsidRDefault="00A60DF4" w:rsidP="00A60DF4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proofErr w:type="spellStart"/>
      <w:r w:rsidRPr="00FA3BCB">
        <w:rPr>
          <w:rFonts w:ascii="Tahoma" w:hAnsi="Tahoma" w:cs="Tahoma"/>
          <w:sz w:val="20"/>
          <w:szCs w:val="20"/>
          <w:highlight w:val="yellow"/>
        </w:rPr>
        <w:t>mmHg</w:t>
      </w:r>
      <w:proofErr w:type="spellEnd"/>
    </w:p>
    <w:p w:rsidR="00A60DF4" w:rsidRPr="00FA3BCB" w:rsidRDefault="00A60DF4" w:rsidP="00A60DF4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FA3BCB">
        <w:rPr>
          <w:rFonts w:ascii="Tahoma" w:hAnsi="Tahoma" w:cs="Tahoma"/>
          <w:sz w:val="20"/>
          <w:szCs w:val="20"/>
        </w:rPr>
        <w:t>mgHg</w:t>
      </w:r>
      <w:proofErr w:type="spellEnd"/>
    </w:p>
    <w:p w:rsidR="00A60DF4" w:rsidRPr="00FA3BCB" w:rsidRDefault="00A60DF4" w:rsidP="00A60DF4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FA3BCB">
        <w:rPr>
          <w:rFonts w:ascii="Tahoma" w:hAnsi="Tahoma" w:cs="Tahoma"/>
          <w:sz w:val="20"/>
          <w:szCs w:val="20"/>
        </w:rPr>
        <w:t>cmHg</w:t>
      </w:r>
      <w:proofErr w:type="spellEnd"/>
    </w:p>
    <w:p w:rsidR="00C9154C" w:rsidRDefault="00C9154C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Quali tra questi non è considerato un mezzo di contenzione fisica:</w:t>
      </w:r>
    </w:p>
    <w:p w:rsidR="00A60DF4" w:rsidRPr="00FA3BCB" w:rsidRDefault="00A60DF4" w:rsidP="00A60DF4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Cintura per carrozzina o sedia</w:t>
      </w:r>
    </w:p>
    <w:p w:rsidR="00A60DF4" w:rsidRDefault="00A60DF4" w:rsidP="00A60DF4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Reti e </w:t>
      </w:r>
      <w:proofErr w:type="spellStart"/>
      <w:r w:rsidRPr="00FA3BCB">
        <w:rPr>
          <w:rFonts w:ascii="Tahoma" w:hAnsi="Tahoma" w:cs="Tahoma"/>
          <w:sz w:val="20"/>
          <w:szCs w:val="20"/>
        </w:rPr>
        <w:t>spondine</w:t>
      </w:r>
      <w:proofErr w:type="spellEnd"/>
      <w:r w:rsidRPr="00FA3BCB">
        <w:rPr>
          <w:rFonts w:ascii="Tahoma" w:hAnsi="Tahoma" w:cs="Tahoma"/>
          <w:sz w:val="20"/>
          <w:szCs w:val="20"/>
        </w:rPr>
        <w:t xml:space="preserve"> per il letto</w:t>
      </w:r>
    </w:p>
    <w:p w:rsidR="00A60DF4" w:rsidRPr="00FA3BCB" w:rsidRDefault="00A60DF4" w:rsidP="00A60DF4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Gesso ortopedico</w:t>
      </w:r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Le padelle usate dai pazienti devono essere sottoposte a</w:t>
      </w:r>
      <w:r w:rsidRPr="00FA3BCB">
        <w:rPr>
          <w:rFonts w:ascii="Tahoma" w:hAnsi="Tahoma" w:cs="Tahoma"/>
          <w:b/>
          <w:sz w:val="20"/>
          <w:szCs w:val="20"/>
        </w:rPr>
        <w:t>:</w:t>
      </w:r>
    </w:p>
    <w:p w:rsidR="00A60DF4" w:rsidRPr="00FA3BCB" w:rsidRDefault="00A60DF4" w:rsidP="00A60DF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Pulizia</w:t>
      </w:r>
    </w:p>
    <w:p w:rsidR="00A60DF4" w:rsidRPr="00FA3BCB" w:rsidRDefault="00A60DF4" w:rsidP="00A60DF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Pulizia e disinfezione</w:t>
      </w:r>
    </w:p>
    <w:p w:rsidR="00A60DF4" w:rsidRPr="00FA3BCB" w:rsidRDefault="00A60DF4" w:rsidP="00A60DF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Sterilizzazione</w:t>
      </w:r>
    </w:p>
    <w:p w:rsidR="00A60DF4" w:rsidRDefault="00A60DF4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b/>
          <w:bCs/>
          <w:sz w:val="20"/>
          <w:szCs w:val="20"/>
          <w:lang w:eastAsia="it-IT"/>
        </w:rPr>
        <w:t>Un paziente emette radiazioni ionizzanti strumentalmente rilevabili quando ha effettuato</w:t>
      </w:r>
      <w:r w:rsidRPr="00FA3BCB">
        <w:rPr>
          <w:rFonts w:ascii="Tahoma" w:hAnsi="Tahoma" w:cs="Tahoma"/>
          <w:b/>
          <w:sz w:val="20"/>
          <w:szCs w:val="20"/>
          <w:lang w:eastAsia="it-IT"/>
        </w:rPr>
        <w:t>:</w:t>
      </w:r>
    </w:p>
    <w:p w:rsidR="00A60DF4" w:rsidRPr="00FA3BCB" w:rsidRDefault="00A60DF4" w:rsidP="00A60DF4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FA3BCB">
        <w:rPr>
          <w:rFonts w:ascii="Tahoma" w:hAnsi="Tahoma" w:cs="Tahoma"/>
          <w:sz w:val="20"/>
          <w:szCs w:val="20"/>
          <w:highlight w:val="yellow"/>
          <w:lang w:eastAsia="it-IT"/>
        </w:rPr>
        <w:t>Un esame scintigrafico</w:t>
      </w:r>
    </w:p>
    <w:p w:rsidR="00A60DF4" w:rsidRPr="00FA3BCB" w:rsidRDefault="00A60DF4" w:rsidP="00A60DF4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Un’ecografia</w:t>
      </w:r>
    </w:p>
    <w:p w:rsidR="00A60DF4" w:rsidRPr="00FA3BCB" w:rsidRDefault="00A60DF4" w:rsidP="00A60DF4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Una RMN</w:t>
      </w:r>
    </w:p>
    <w:p w:rsidR="00A60DF4" w:rsidRDefault="00A60DF4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Nella prevenzione delle lesioni da decubito quale azione tra le seguenti è “sconsigliata”:</w:t>
      </w:r>
    </w:p>
    <w:p w:rsidR="00A60DF4" w:rsidRPr="00FA3BCB" w:rsidRDefault="00A60DF4" w:rsidP="00A60DF4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Detergere la cute con saponi delicati, usando acqua tiepida, poi asciugare tamponando</w:t>
      </w:r>
    </w:p>
    <w:p w:rsidR="00A60DF4" w:rsidRPr="00FA3BCB" w:rsidRDefault="00A60DF4" w:rsidP="00A60DF4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Eseguire mobilizzazione con cambi di postura personalizzati</w:t>
      </w:r>
    </w:p>
    <w:p w:rsidR="00A60DF4" w:rsidRPr="00FA3BCB" w:rsidRDefault="00A60DF4" w:rsidP="00A60DF4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Frizionare e massaggiare il corpo con prodotti a base di alcool</w:t>
      </w:r>
    </w:p>
    <w:p w:rsidR="00A60DF4" w:rsidRPr="00FA3BCB" w:rsidRDefault="00A60DF4" w:rsidP="00A60DF4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sz w:val="20"/>
          <w:szCs w:val="20"/>
        </w:rPr>
        <w:t>Come si deve comportare l’OSS di fronte ad un paziente con crisi epilettica:</w:t>
      </w:r>
    </w:p>
    <w:p w:rsidR="00A60DF4" w:rsidRPr="00FA3BCB" w:rsidRDefault="00A60DF4" w:rsidP="00A60DF4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bCs/>
          <w:sz w:val="20"/>
          <w:szCs w:val="20"/>
          <w:highlight w:val="yellow"/>
        </w:rPr>
        <w:t>Allontanare gli oggetti che possano essere pericolosi e fare in modo che non si ferisca con questi</w:t>
      </w:r>
    </w:p>
    <w:p w:rsidR="00A60DF4" w:rsidRPr="00FA3BCB" w:rsidRDefault="00A60DF4" w:rsidP="00A60DF4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Allontanarsi e lasciarlo da solo, in modo da non innervosirlo, sino a quando la crisi non termina</w:t>
      </w:r>
    </w:p>
    <w:p w:rsidR="00A60DF4" w:rsidRPr="00FA3BCB" w:rsidRDefault="00A60DF4" w:rsidP="00A60DF4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Nessuna delle precedenti </w:t>
      </w:r>
    </w:p>
    <w:p w:rsidR="00A60DF4" w:rsidRPr="00FA3BCB" w:rsidRDefault="00A60DF4" w:rsidP="00A60DF4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Iniziata la somministrazione di un pasto il paziente inizia a tossire e ad avere una voce modificata, cosa deve fare l'OSS:</w:t>
      </w:r>
    </w:p>
    <w:p w:rsidR="00A60DF4" w:rsidRPr="00FA3BCB" w:rsidRDefault="00A60DF4" w:rsidP="00A60DF4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Continuare ad alimentar</w:t>
      </w:r>
      <w:r w:rsidR="008E7959">
        <w:rPr>
          <w:rFonts w:ascii="Tahoma" w:hAnsi="Tahoma" w:cs="Tahoma"/>
          <w:sz w:val="20"/>
          <w:szCs w:val="20"/>
        </w:rPr>
        <w:t xml:space="preserve">e il paziente con cibi frullati </w:t>
      </w:r>
      <w:bookmarkStart w:id="0" w:name="_GoBack"/>
      <w:bookmarkEnd w:id="0"/>
      <w:r w:rsidRPr="00FA3BCB">
        <w:rPr>
          <w:rFonts w:ascii="Tahoma" w:hAnsi="Tahoma" w:cs="Tahoma"/>
          <w:sz w:val="20"/>
          <w:szCs w:val="20"/>
        </w:rPr>
        <w:t>e segnalare all'infermiere di controllare la situazione</w:t>
      </w:r>
    </w:p>
    <w:p w:rsidR="00A60DF4" w:rsidRPr="00FA3BCB" w:rsidRDefault="00A60DF4" w:rsidP="00A60DF4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Sospendere l’alimentazione del paziente ed avvisare l'infermiere</w:t>
      </w:r>
    </w:p>
    <w:p w:rsidR="00A60DF4" w:rsidRPr="00FA3BCB" w:rsidRDefault="00A60DF4" w:rsidP="00A60DF4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Far assumere alla persona una posizione più comoda e continuare ad alimentarla</w:t>
      </w:r>
    </w:p>
    <w:p w:rsidR="00A60DF4" w:rsidRDefault="00A60DF4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sz w:val="20"/>
          <w:szCs w:val="20"/>
        </w:rPr>
        <w:t>La raccolta delle urine delle 24 ore inizia generalmente:</w:t>
      </w:r>
    </w:p>
    <w:p w:rsidR="00A60DF4" w:rsidRPr="00FA3BCB" w:rsidRDefault="00A60DF4" w:rsidP="00A60DF4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La sera prima di dormire</w:t>
      </w:r>
    </w:p>
    <w:p w:rsidR="00A60DF4" w:rsidRPr="00FA3BCB" w:rsidRDefault="00A60DF4" w:rsidP="00A60DF4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bCs/>
          <w:sz w:val="20"/>
          <w:szCs w:val="20"/>
          <w:highlight w:val="yellow"/>
        </w:rPr>
        <w:t>Dopo la minzione della notte</w:t>
      </w:r>
    </w:p>
    <w:p w:rsidR="00A60DF4" w:rsidRPr="00FA3BCB" w:rsidRDefault="00A60DF4" w:rsidP="00A60DF4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Prima della minzione della notte </w:t>
      </w:r>
    </w:p>
    <w:p w:rsidR="00A60DF4" w:rsidRDefault="00A60DF4" w:rsidP="00C9154C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b/>
          <w:bCs/>
          <w:sz w:val="20"/>
          <w:szCs w:val="20"/>
          <w:lang w:eastAsia="it-IT"/>
        </w:rPr>
        <w:t>In caso di temperatura corporea elevata, quali interventi può mettere in atto l’OSS</w:t>
      </w:r>
      <w:r w:rsidRPr="00FA3BCB">
        <w:rPr>
          <w:rFonts w:ascii="Tahoma" w:hAnsi="Tahoma" w:cs="Tahoma"/>
          <w:b/>
          <w:sz w:val="20"/>
          <w:szCs w:val="20"/>
          <w:lang w:eastAsia="it-IT"/>
        </w:rPr>
        <w:t>:</w:t>
      </w:r>
    </w:p>
    <w:p w:rsidR="00A60DF4" w:rsidRPr="00FA3BCB" w:rsidRDefault="00A60DF4" w:rsidP="00A60DF4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Interventi rivolti ad agire sulle cause dell’ipertermia</w:t>
      </w:r>
    </w:p>
    <w:p w:rsidR="00A60DF4" w:rsidRPr="00FA3BCB" w:rsidRDefault="00A60DF4" w:rsidP="00A60DF4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Interventi di tipo farmacologico</w:t>
      </w:r>
    </w:p>
    <w:p w:rsidR="00A60DF4" w:rsidRPr="00FA3BCB" w:rsidRDefault="00A60DF4" w:rsidP="00A60DF4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FA3BCB">
        <w:rPr>
          <w:rFonts w:ascii="Tahoma" w:hAnsi="Tahoma" w:cs="Tahoma"/>
          <w:sz w:val="20"/>
          <w:szCs w:val="20"/>
          <w:highlight w:val="yellow"/>
          <w:lang w:eastAsia="it-IT"/>
        </w:rPr>
        <w:t>Interventi che favoriscono la perdita di calore corporeo</w:t>
      </w:r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Il rifacimento del letto deve essere eseguito:</w:t>
      </w:r>
    </w:p>
    <w:p w:rsidR="00A60DF4" w:rsidRPr="00FA3BCB" w:rsidRDefault="00A60DF4" w:rsidP="00A60DF4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Solo una volta al giorno</w:t>
      </w:r>
    </w:p>
    <w:p w:rsidR="00A60DF4" w:rsidRPr="00FA3BCB" w:rsidRDefault="00A60DF4" w:rsidP="00A60DF4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Al bisogno, secondo la disponibilità della biancheria</w:t>
      </w:r>
    </w:p>
    <w:p w:rsidR="00A60DF4" w:rsidRPr="00FA3BCB" w:rsidRDefault="00A60DF4" w:rsidP="00A60DF4">
      <w:pPr>
        <w:pStyle w:val="NormaleWeb"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Quotidianamente e secondo i bisogni della persona</w:t>
      </w:r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 xml:space="preserve">L’ittero è rilevabile precocemente osservando: </w:t>
      </w:r>
    </w:p>
    <w:p w:rsidR="00A60DF4" w:rsidRPr="00FA3BCB" w:rsidRDefault="00A60DF4" w:rsidP="00A60DF4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La cute </w:t>
      </w:r>
    </w:p>
    <w:p w:rsidR="00A60DF4" w:rsidRPr="00FA3BCB" w:rsidRDefault="00A60DF4" w:rsidP="00A60DF4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Il letto ungueale e mucose </w:t>
      </w:r>
    </w:p>
    <w:p w:rsidR="00A60DF4" w:rsidRPr="00FA3BCB" w:rsidRDefault="00A60DF4" w:rsidP="00A60DF4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Le sclere</w:t>
      </w:r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keepNext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lastRenderedPageBreak/>
        <w:t>Gli indumenti e le lenzuola monouso di un paziente, in presenza di ematuria sono da considerarsi:</w:t>
      </w:r>
    </w:p>
    <w:p w:rsidR="00A60DF4" w:rsidRPr="00FA3BCB" w:rsidRDefault="00A60DF4" w:rsidP="00A60DF4">
      <w:pPr>
        <w:pStyle w:val="NormaleWeb"/>
        <w:keepNext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Rifiuti non pericolosi assimilabili agli urbani</w:t>
      </w:r>
    </w:p>
    <w:p w:rsidR="00A60DF4" w:rsidRPr="00FA3BCB" w:rsidRDefault="00A60DF4" w:rsidP="00A60DF4">
      <w:pPr>
        <w:pStyle w:val="NormaleWeb"/>
        <w:keepNext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Rifiuti pericolosi a rischio infettivo</w:t>
      </w:r>
    </w:p>
    <w:p w:rsidR="00A60DF4" w:rsidRPr="00FA3BCB" w:rsidRDefault="00A60DF4" w:rsidP="00A60DF4">
      <w:pPr>
        <w:pStyle w:val="NormaleWeb"/>
        <w:keepNext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Rifiuti pericolosi non a rischio infettivo</w:t>
      </w:r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La scala di misurazione della temperatura è:</w:t>
      </w:r>
    </w:p>
    <w:p w:rsidR="00A60DF4" w:rsidRPr="00FA3BCB" w:rsidRDefault="00A60DF4" w:rsidP="00A60DF4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Scala </w:t>
      </w:r>
      <w:proofErr w:type="spellStart"/>
      <w:r w:rsidRPr="00FA3BCB">
        <w:rPr>
          <w:rFonts w:ascii="Tahoma" w:hAnsi="Tahoma" w:cs="Tahoma"/>
          <w:sz w:val="20"/>
          <w:szCs w:val="20"/>
        </w:rPr>
        <w:t>Mercalli</w:t>
      </w:r>
      <w:proofErr w:type="spellEnd"/>
    </w:p>
    <w:p w:rsidR="00A60DF4" w:rsidRPr="00FA3BCB" w:rsidRDefault="00A60DF4" w:rsidP="00A60DF4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Scala Richter</w:t>
      </w:r>
    </w:p>
    <w:p w:rsidR="00A60DF4" w:rsidRPr="00FA3BCB" w:rsidRDefault="00A60DF4" w:rsidP="00A60DF4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Scala Celsius</w:t>
      </w:r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 xml:space="preserve">La cianosi è rilevabile precocemente osservando: </w:t>
      </w:r>
    </w:p>
    <w:p w:rsidR="00A60DF4" w:rsidRPr="00FA3BCB" w:rsidRDefault="00A60DF4" w:rsidP="00A60DF4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La cute </w:t>
      </w:r>
    </w:p>
    <w:p w:rsidR="00A60DF4" w:rsidRPr="00FA3BCB" w:rsidRDefault="00A60DF4" w:rsidP="00A60DF4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 xml:space="preserve">Il letto ungueale e mucose </w:t>
      </w:r>
    </w:p>
    <w:p w:rsidR="00A60DF4" w:rsidRPr="00FA3BCB" w:rsidRDefault="00A60DF4" w:rsidP="00A60DF4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Le sclere</w:t>
      </w:r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Quale tra i seguenti sono da considerarsi un rifiuto sanitario a rischio infettivo:</w:t>
      </w:r>
    </w:p>
    <w:p w:rsidR="00A60DF4" w:rsidRPr="00FA3BCB" w:rsidRDefault="00A60DF4" w:rsidP="00A60DF4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Flaconi di medicinali</w:t>
      </w:r>
    </w:p>
    <w:p w:rsidR="00A60DF4" w:rsidRPr="00FA3BCB" w:rsidRDefault="00A60DF4" w:rsidP="00A60DF4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Garze e cerotto contaminate da materiale siero/ematico</w:t>
      </w:r>
    </w:p>
    <w:p w:rsidR="00A60DF4" w:rsidRPr="00FA3BCB" w:rsidRDefault="00A60DF4" w:rsidP="00A60DF4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Farmaci scaduti</w:t>
      </w:r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La disfagia è:</w:t>
      </w:r>
    </w:p>
    <w:p w:rsidR="00A60DF4" w:rsidRPr="00FA3BCB" w:rsidRDefault="00A60DF4" w:rsidP="00A60DF4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Disgusto verso il cibo</w:t>
      </w:r>
    </w:p>
    <w:p w:rsidR="00A60DF4" w:rsidRPr="00FA3BCB" w:rsidRDefault="00A60DF4" w:rsidP="00A60DF4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Difficoltà alla deglutizione</w:t>
      </w:r>
    </w:p>
    <w:p w:rsidR="00A60DF4" w:rsidRPr="00FA3BCB" w:rsidRDefault="00A60DF4" w:rsidP="00A60DF4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Rigurgito di secrezioni nasali</w:t>
      </w:r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b/>
          <w:sz w:val="20"/>
          <w:szCs w:val="20"/>
          <w:lang w:eastAsia="it-IT"/>
        </w:rPr>
        <w:t>Lo sfigmomanometro serve a misurare:</w:t>
      </w:r>
    </w:p>
    <w:p w:rsidR="00A60DF4" w:rsidRPr="00FA3BCB" w:rsidRDefault="00A60DF4" w:rsidP="00A60DF4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La temperatura corporea</w:t>
      </w:r>
    </w:p>
    <w:p w:rsidR="00A60DF4" w:rsidRPr="00FA3BCB" w:rsidRDefault="00A60DF4" w:rsidP="00A60DF4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FA3BCB">
        <w:rPr>
          <w:rFonts w:ascii="Tahoma" w:hAnsi="Tahoma" w:cs="Tahoma"/>
          <w:sz w:val="20"/>
          <w:szCs w:val="20"/>
          <w:highlight w:val="yellow"/>
          <w:lang w:eastAsia="it-IT"/>
        </w:rPr>
        <w:t>La pressione arteriosa</w:t>
      </w:r>
    </w:p>
    <w:p w:rsidR="00A60DF4" w:rsidRPr="00FA3BCB" w:rsidRDefault="00A60DF4" w:rsidP="00A60DF4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</w:rPr>
        <w:t>L'ossigenazione del sangue</w:t>
      </w:r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 xml:space="preserve">La posizione corretta per un paziente con grave dispnea è: </w:t>
      </w:r>
    </w:p>
    <w:p w:rsidR="00A60DF4" w:rsidRPr="00FA3BCB" w:rsidRDefault="00A60DF4" w:rsidP="00A60DF4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Decubito supino senza cuscini, piano del letto orizzontale </w:t>
      </w:r>
    </w:p>
    <w:p w:rsidR="00A60DF4" w:rsidRPr="00FA3BCB" w:rsidRDefault="00A60DF4" w:rsidP="00A60DF4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 xml:space="preserve">Seduto o </w:t>
      </w:r>
      <w:proofErr w:type="spellStart"/>
      <w:r w:rsidRPr="00FA3BCB">
        <w:rPr>
          <w:rFonts w:ascii="Tahoma" w:hAnsi="Tahoma" w:cs="Tahoma"/>
          <w:sz w:val="20"/>
          <w:szCs w:val="20"/>
          <w:highlight w:val="yellow"/>
        </w:rPr>
        <w:t>semiseduto</w:t>
      </w:r>
      <w:proofErr w:type="spellEnd"/>
      <w:r w:rsidRPr="00FA3BCB">
        <w:rPr>
          <w:rFonts w:ascii="Tahoma" w:hAnsi="Tahoma" w:cs="Tahoma"/>
          <w:sz w:val="20"/>
          <w:szCs w:val="20"/>
          <w:highlight w:val="yellow"/>
        </w:rPr>
        <w:t xml:space="preserve">, in appoggio su cuscini possibilmente con i piedi del letto abbassati (o in poltrona), piano di appoggio per le braccia </w:t>
      </w:r>
    </w:p>
    <w:p w:rsidR="00A60DF4" w:rsidRPr="00FA3BCB" w:rsidRDefault="00A60DF4" w:rsidP="00A60DF4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Posizione prona oppure posizione di </w:t>
      </w:r>
      <w:proofErr w:type="spellStart"/>
      <w:r w:rsidRPr="00FA3BCB">
        <w:rPr>
          <w:rFonts w:ascii="Tahoma" w:hAnsi="Tahoma" w:cs="Tahoma"/>
          <w:sz w:val="20"/>
          <w:szCs w:val="20"/>
        </w:rPr>
        <w:t>Trendelenburg</w:t>
      </w:r>
      <w:proofErr w:type="spellEnd"/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 xml:space="preserve">Come deve essere il contenitore utilizzato per la raccolta del campione di urina per </w:t>
      </w:r>
      <w:proofErr w:type="spellStart"/>
      <w:r w:rsidRPr="00FA3BCB">
        <w:rPr>
          <w:rFonts w:ascii="Tahoma" w:hAnsi="Tahoma" w:cs="Tahoma"/>
          <w:b/>
          <w:bCs/>
          <w:sz w:val="20"/>
          <w:szCs w:val="20"/>
        </w:rPr>
        <w:t>urinocoltura</w:t>
      </w:r>
      <w:proofErr w:type="spellEnd"/>
      <w:r w:rsidRPr="00FA3BCB">
        <w:rPr>
          <w:rFonts w:ascii="Tahoma" w:hAnsi="Tahoma" w:cs="Tahoma"/>
          <w:b/>
          <w:bCs/>
          <w:sz w:val="20"/>
          <w:szCs w:val="20"/>
        </w:rPr>
        <w:t>:</w:t>
      </w:r>
    </w:p>
    <w:p w:rsidR="00A60DF4" w:rsidRPr="00FA3BCB" w:rsidRDefault="00A60DF4" w:rsidP="00A60DF4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Un contenitore pulito</w:t>
      </w:r>
    </w:p>
    <w:p w:rsidR="00A60DF4" w:rsidRPr="00FA3BCB" w:rsidRDefault="00A60DF4" w:rsidP="00A60DF4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Un contenitore sterile</w:t>
      </w:r>
    </w:p>
    <w:p w:rsidR="00A60DF4" w:rsidRPr="00FA3BCB" w:rsidRDefault="00A60DF4" w:rsidP="00A60DF4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È indifferente sta all'operatore scegliere il contenitore, in base alla disponibilità del reparto</w:t>
      </w:r>
    </w:p>
    <w:p w:rsidR="00A60DF4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A60DF4" w:rsidRPr="00FA3BCB" w:rsidRDefault="00A60DF4" w:rsidP="00A60DF4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Quale delle seguenti affermazioni sul lavaggio delle mani è errata</w:t>
      </w:r>
      <w:r w:rsidRPr="00FA3BCB">
        <w:rPr>
          <w:rFonts w:ascii="Tahoma" w:hAnsi="Tahoma" w:cs="Tahoma"/>
          <w:b/>
          <w:sz w:val="20"/>
          <w:szCs w:val="20"/>
        </w:rPr>
        <w:t>:</w:t>
      </w:r>
    </w:p>
    <w:p w:rsidR="00A60DF4" w:rsidRPr="00FA3BCB" w:rsidRDefault="00A60DF4" w:rsidP="00A60DF4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È la misura più importante per la prevenzione delle infezioni ospedaliere</w:t>
      </w:r>
    </w:p>
    <w:p w:rsidR="00A60DF4" w:rsidRPr="00FA3BCB" w:rsidRDefault="00A60DF4" w:rsidP="00A60DF4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Può essere sociale, antisettico, chirurgico</w:t>
      </w:r>
    </w:p>
    <w:p w:rsidR="00A60DF4" w:rsidRPr="00FA3BCB" w:rsidRDefault="00A60DF4" w:rsidP="00A60DF4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Non è obbligatorio prima delle manovre assistenziali</w:t>
      </w:r>
    </w:p>
    <w:p w:rsidR="00A60DF4" w:rsidRPr="00FA3BCB" w:rsidRDefault="00A60DF4" w:rsidP="00A60DF4">
      <w:pPr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2E734C" w:rsidRDefault="002E734C" w:rsidP="00B84E6F">
      <w:pPr>
        <w:spacing w:after="0" w:line="240" w:lineRule="auto"/>
        <w:ind w:left="426" w:hanging="426"/>
        <w:jc w:val="center"/>
        <w:rPr>
          <w:lang w:eastAsia="it-IT"/>
        </w:rPr>
      </w:pPr>
    </w:p>
    <w:p w:rsidR="002E734C" w:rsidRDefault="002E734C" w:rsidP="00B84E6F">
      <w:pPr>
        <w:spacing w:after="0" w:line="240" w:lineRule="auto"/>
        <w:ind w:left="426" w:hanging="426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 w:rsidP="00B84E6F">
      <w:pPr>
        <w:spacing w:after="0" w:line="240" w:lineRule="auto"/>
        <w:ind w:left="426" w:hanging="426"/>
        <w:rPr>
          <w:sz w:val="8"/>
          <w:szCs w:val="8"/>
          <w:lang w:eastAsia="it-IT"/>
        </w:rPr>
      </w:pPr>
    </w:p>
    <w:p w:rsidR="00B670E9" w:rsidRDefault="00B670E9" w:rsidP="00B84E6F">
      <w:pPr>
        <w:ind w:left="426" w:hanging="426"/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CC6" w:rsidRDefault="00787CC6">
      <w:pPr>
        <w:spacing w:after="0" w:line="240" w:lineRule="auto"/>
      </w:pPr>
      <w:r>
        <w:separator/>
      </w:r>
    </w:p>
  </w:endnote>
  <w:endnote w:type="continuationSeparator" w:id="0">
    <w:p w:rsidR="00787CC6" w:rsidRDefault="0078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8E7959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B84EBC">
      <w:t>1</w:t>
    </w:r>
    <w:r w:rsidR="003C5FE9">
      <w:t>D</w:t>
    </w:r>
    <w:r>
      <w:t xml:space="preserve"> </w:t>
    </w:r>
    <w:r w:rsidR="00C16954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8E7959">
      <w:rPr>
        <w:noProof/>
        <w:lang w:eastAsia="it-IT"/>
      </w:rPr>
      <w:t>3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8E7959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CC6" w:rsidRDefault="00787CC6">
      <w:pPr>
        <w:spacing w:after="0" w:line="240" w:lineRule="auto"/>
      </w:pPr>
      <w:r>
        <w:separator/>
      </w:r>
    </w:p>
  </w:footnote>
  <w:footnote w:type="continuationSeparator" w:id="0">
    <w:p w:rsidR="00787CC6" w:rsidRDefault="0078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383"/>
    <w:multiLevelType w:val="hybridMultilevel"/>
    <w:tmpl w:val="682A992A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3A11C0"/>
    <w:multiLevelType w:val="hybridMultilevel"/>
    <w:tmpl w:val="2682908E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1FFA"/>
    <w:multiLevelType w:val="hybridMultilevel"/>
    <w:tmpl w:val="F8E049D8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03293"/>
    <w:multiLevelType w:val="hybridMultilevel"/>
    <w:tmpl w:val="FB1AC3D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13667"/>
    <w:multiLevelType w:val="hybridMultilevel"/>
    <w:tmpl w:val="B9325E0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47970"/>
    <w:multiLevelType w:val="hybridMultilevel"/>
    <w:tmpl w:val="32B22BF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F3D0A"/>
    <w:multiLevelType w:val="hybridMultilevel"/>
    <w:tmpl w:val="B1466D1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1B0C1FB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D1F50"/>
    <w:multiLevelType w:val="hybridMultilevel"/>
    <w:tmpl w:val="CA48D33E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D366A"/>
    <w:multiLevelType w:val="hybridMultilevel"/>
    <w:tmpl w:val="6ADAC500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A0FF9"/>
    <w:multiLevelType w:val="hybridMultilevel"/>
    <w:tmpl w:val="CE52D25E"/>
    <w:lvl w:ilvl="0" w:tplc="F8CAF26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76C83"/>
    <w:multiLevelType w:val="hybridMultilevel"/>
    <w:tmpl w:val="58368DF4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B73E1"/>
    <w:multiLevelType w:val="hybridMultilevel"/>
    <w:tmpl w:val="C19C0EAA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F5B3A"/>
    <w:multiLevelType w:val="hybridMultilevel"/>
    <w:tmpl w:val="047ECE7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6468C"/>
    <w:multiLevelType w:val="hybridMultilevel"/>
    <w:tmpl w:val="69043510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60AA3"/>
    <w:multiLevelType w:val="hybridMultilevel"/>
    <w:tmpl w:val="49F001C2"/>
    <w:lvl w:ilvl="0" w:tplc="AA1A4BC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F0392"/>
    <w:multiLevelType w:val="hybridMultilevel"/>
    <w:tmpl w:val="2B9C5E82"/>
    <w:lvl w:ilvl="0" w:tplc="13ECAD7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56DB9"/>
    <w:multiLevelType w:val="hybridMultilevel"/>
    <w:tmpl w:val="1CE27DD6"/>
    <w:lvl w:ilvl="0" w:tplc="24CE34E2">
      <w:start w:val="1"/>
      <w:numFmt w:val="upperLetter"/>
      <w:lvlText w:val="%1."/>
      <w:lvlJc w:val="left"/>
      <w:pPr>
        <w:ind w:left="1495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46CD6F6F"/>
    <w:multiLevelType w:val="hybridMultilevel"/>
    <w:tmpl w:val="74AECB6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A7E67"/>
    <w:multiLevelType w:val="hybridMultilevel"/>
    <w:tmpl w:val="A552B5A6"/>
    <w:lvl w:ilvl="0" w:tplc="47366E1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A43C3"/>
    <w:multiLevelType w:val="hybridMultilevel"/>
    <w:tmpl w:val="CAF6E518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F61D8"/>
    <w:multiLevelType w:val="hybridMultilevel"/>
    <w:tmpl w:val="A25AC8E2"/>
    <w:lvl w:ilvl="0" w:tplc="207A563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17AF5"/>
    <w:multiLevelType w:val="hybridMultilevel"/>
    <w:tmpl w:val="9B186DB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F35C7"/>
    <w:multiLevelType w:val="hybridMultilevel"/>
    <w:tmpl w:val="A5F662F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C583D"/>
    <w:multiLevelType w:val="hybridMultilevel"/>
    <w:tmpl w:val="605C1B3A"/>
    <w:lvl w:ilvl="0" w:tplc="F8CAE4A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00A5C"/>
    <w:multiLevelType w:val="hybridMultilevel"/>
    <w:tmpl w:val="4574C77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47E28"/>
    <w:multiLevelType w:val="hybridMultilevel"/>
    <w:tmpl w:val="4A1C77B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27D58"/>
    <w:multiLevelType w:val="hybridMultilevel"/>
    <w:tmpl w:val="F64A3D0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547EB"/>
    <w:multiLevelType w:val="hybridMultilevel"/>
    <w:tmpl w:val="78C6D20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2B00D3"/>
    <w:multiLevelType w:val="hybridMultilevel"/>
    <w:tmpl w:val="7592DBC8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940B1"/>
    <w:multiLevelType w:val="hybridMultilevel"/>
    <w:tmpl w:val="FDF075D6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5567CA"/>
    <w:multiLevelType w:val="hybridMultilevel"/>
    <w:tmpl w:val="F2DEDA9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F12A82"/>
    <w:multiLevelType w:val="hybridMultilevel"/>
    <w:tmpl w:val="0BCE52A6"/>
    <w:lvl w:ilvl="0" w:tplc="24CE34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415B5"/>
    <w:multiLevelType w:val="hybridMultilevel"/>
    <w:tmpl w:val="D32CEBC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75E18"/>
    <w:multiLevelType w:val="hybridMultilevel"/>
    <w:tmpl w:val="FEB4D70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A07A3"/>
    <w:multiLevelType w:val="hybridMultilevel"/>
    <w:tmpl w:val="59125C2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00B2E"/>
    <w:multiLevelType w:val="hybridMultilevel"/>
    <w:tmpl w:val="24C4B6A8"/>
    <w:lvl w:ilvl="0" w:tplc="24CE34E2">
      <w:start w:val="1"/>
      <w:numFmt w:val="upperLetter"/>
      <w:lvlText w:val="%1."/>
      <w:lvlJc w:val="left"/>
      <w:pPr>
        <w:ind w:left="17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04835"/>
    <w:multiLevelType w:val="hybridMultilevel"/>
    <w:tmpl w:val="CE8EAE6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D12C2"/>
    <w:multiLevelType w:val="hybridMultilevel"/>
    <w:tmpl w:val="9AD451E0"/>
    <w:lvl w:ilvl="0" w:tplc="04100015">
      <w:start w:val="1"/>
      <w:numFmt w:val="upperLetter"/>
      <w:lvlText w:val="%1."/>
      <w:lvlJc w:val="left"/>
      <w:pPr>
        <w:ind w:left="1211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A3DF2"/>
    <w:multiLevelType w:val="hybridMultilevel"/>
    <w:tmpl w:val="A65A6EEE"/>
    <w:lvl w:ilvl="0" w:tplc="FF3084B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256E6"/>
    <w:multiLevelType w:val="hybridMultilevel"/>
    <w:tmpl w:val="D90C5E8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27"/>
  </w:num>
  <w:num w:numId="4">
    <w:abstractNumId w:val="34"/>
  </w:num>
  <w:num w:numId="5">
    <w:abstractNumId w:val="22"/>
  </w:num>
  <w:num w:numId="6">
    <w:abstractNumId w:val="36"/>
  </w:num>
  <w:num w:numId="7">
    <w:abstractNumId w:val="33"/>
  </w:num>
  <w:num w:numId="8">
    <w:abstractNumId w:val="37"/>
  </w:num>
  <w:num w:numId="9">
    <w:abstractNumId w:val="9"/>
  </w:num>
  <w:num w:numId="10">
    <w:abstractNumId w:val="5"/>
  </w:num>
  <w:num w:numId="11">
    <w:abstractNumId w:val="26"/>
  </w:num>
  <w:num w:numId="12">
    <w:abstractNumId w:val="17"/>
  </w:num>
  <w:num w:numId="13">
    <w:abstractNumId w:val="18"/>
  </w:num>
  <w:num w:numId="14">
    <w:abstractNumId w:val="21"/>
  </w:num>
  <w:num w:numId="15">
    <w:abstractNumId w:val="4"/>
  </w:num>
  <w:num w:numId="16">
    <w:abstractNumId w:val="39"/>
  </w:num>
  <w:num w:numId="17">
    <w:abstractNumId w:val="3"/>
  </w:num>
  <w:num w:numId="18">
    <w:abstractNumId w:val="24"/>
  </w:num>
  <w:num w:numId="19">
    <w:abstractNumId w:val="25"/>
  </w:num>
  <w:num w:numId="20">
    <w:abstractNumId w:val="30"/>
  </w:num>
  <w:num w:numId="21">
    <w:abstractNumId w:val="12"/>
  </w:num>
  <w:num w:numId="22">
    <w:abstractNumId w:val="6"/>
  </w:num>
  <w:num w:numId="23">
    <w:abstractNumId w:val="35"/>
  </w:num>
  <w:num w:numId="24">
    <w:abstractNumId w:val="16"/>
  </w:num>
  <w:num w:numId="25">
    <w:abstractNumId w:val="20"/>
  </w:num>
  <w:num w:numId="26">
    <w:abstractNumId w:val="2"/>
  </w:num>
  <w:num w:numId="27">
    <w:abstractNumId w:val="1"/>
  </w:num>
  <w:num w:numId="28">
    <w:abstractNumId w:val="10"/>
  </w:num>
  <w:num w:numId="29">
    <w:abstractNumId w:val="7"/>
  </w:num>
  <w:num w:numId="30">
    <w:abstractNumId w:val="29"/>
  </w:num>
  <w:num w:numId="31">
    <w:abstractNumId w:val="28"/>
  </w:num>
  <w:num w:numId="32">
    <w:abstractNumId w:val="11"/>
  </w:num>
  <w:num w:numId="33">
    <w:abstractNumId w:val="8"/>
  </w:num>
  <w:num w:numId="34">
    <w:abstractNumId w:val="13"/>
  </w:num>
  <w:num w:numId="35">
    <w:abstractNumId w:val="19"/>
  </w:num>
  <w:num w:numId="36">
    <w:abstractNumId w:val="31"/>
  </w:num>
  <w:num w:numId="37">
    <w:abstractNumId w:val="38"/>
  </w:num>
  <w:num w:numId="38">
    <w:abstractNumId w:val="15"/>
  </w:num>
  <w:num w:numId="39">
    <w:abstractNumId w:val="23"/>
  </w:num>
  <w:num w:numId="40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E1DD1"/>
    <w:rsid w:val="002105E1"/>
    <w:rsid w:val="002223C2"/>
    <w:rsid w:val="00244FB4"/>
    <w:rsid w:val="00292E19"/>
    <w:rsid w:val="002A7595"/>
    <w:rsid w:val="002C6FF0"/>
    <w:rsid w:val="002E2FC8"/>
    <w:rsid w:val="002E734C"/>
    <w:rsid w:val="002F25EC"/>
    <w:rsid w:val="0030513F"/>
    <w:rsid w:val="003349E2"/>
    <w:rsid w:val="00365F9B"/>
    <w:rsid w:val="003758EE"/>
    <w:rsid w:val="00376EDD"/>
    <w:rsid w:val="00392BE4"/>
    <w:rsid w:val="003B4BCD"/>
    <w:rsid w:val="003C0FA2"/>
    <w:rsid w:val="003C1719"/>
    <w:rsid w:val="003C5FE9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54AE7"/>
    <w:rsid w:val="006A26F8"/>
    <w:rsid w:val="006A503A"/>
    <w:rsid w:val="006A70C9"/>
    <w:rsid w:val="006E3224"/>
    <w:rsid w:val="00713767"/>
    <w:rsid w:val="007377E3"/>
    <w:rsid w:val="00745BF1"/>
    <w:rsid w:val="00781A86"/>
    <w:rsid w:val="007833D5"/>
    <w:rsid w:val="00783F66"/>
    <w:rsid w:val="00787CC6"/>
    <w:rsid w:val="007A3E67"/>
    <w:rsid w:val="007A7EB4"/>
    <w:rsid w:val="007D049F"/>
    <w:rsid w:val="007E0F16"/>
    <w:rsid w:val="007E4E32"/>
    <w:rsid w:val="008A2C6B"/>
    <w:rsid w:val="008E7959"/>
    <w:rsid w:val="008F6419"/>
    <w:rsid w:val="0093689D"/>
    <w:rsid w:val="009375DB"/>
    <w:rsid w:val="0095637D"/>
    <w:rsid w:val="009715A7"/>
    <w:rsid w:val="009823CC"/>
    <w:rsid w:val="00990245"/>
    <w:rsid w:val="009D593C"/>
    <w:rsid w:val="009E0496"/>
    <w:rsid w:val="00A10BD6"/>
    <w:rsid w:val="00A140A5"/>
    <w:rsid w:val="00A167FB"/>
    <w:rsid w:val="00A2181C"/>
    <w:rsid w:val="00A4095F"/>
    <w:rsid w:val="00A60DF4"/>
    <w:rsid w:val="00A81089"/>
    <w:rsid w:val="00A96425"/>
    <w:rsid w:val="00AB6DB4"/>
    <w:rsid w:val="00AC6AF3"/>
    <w:rsid w:val="00AE451E"/>
    <w:rsid w:val="00AF4821"/>
    <w:rsid w:val="00B670E9"/>
    <w:rsid w:val="00B74591"/>
    <w:rsid w:val="00B75E7D"/>
    <w:rsid w:val="00B84E6F"/>
    <w:rsid w:val="00B84EBC"/>
    <w:rsid w:val="00B87C80"/>
    <w:rsid w:val="00B902C5"/>
    <w:rsid w:val="00BD69DB"/>
    <w:rsid w:val="00BD7988"/>
    <w:rsid w:val="00C10B7A"/>
    <w:rsid w:val="00C16954"/>
    <w:rsid w:val="00C65BD1"/>
    <w:rsid w:val="00C66E07"/>
    <w:rsid w:val="00C744B2"/>
    <w:rsid w:val="00C74F8E"/>
    <w:rsid w:val="00C80446"/>
    <w:rsid w:val="00C9154C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547CB"/>
    <w:rsid w:val="00F75C5C"/>
    <w:rsid w:val="00FA3BCB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95C49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6A50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618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i.bartalucci</cp:lastModifiedBy>
  <cp:revision>11</cp:revision>
  <cp:lastPrinted>2021-07-29T06:56:00Z</cp:lastPrinted>
  <dcterms:created xsi:type="dcterms:W3CDTF">2023-05-22T13:38:00Z</dcterms:created>
  <dcterms:modified xsi:type="dcterms:W3CDTF">2023-05-23T08:43:00Z</dcterms:modified>
</cp:coreProperties>
</file>