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6B7692" w:rsidRPr="006B7692" w:rsidRDefault="00BB753A" w:rsidP="006B7692">
      <w:pPr>
        <w:widowControl w:val="0"/>
        <w:spacing w:before="60" w:after="60"/>
        <w:jc w:val="both"/>
        <w:rPr>
          <w:rFonts w:ascii="Calibri" w:hAnsi="Calibri"/>
          <w:b/>
        </w:rPr>
      </w:pPr>
      <w:r w:rsidRPr="00144A80">
        <w:rPr>
          <w:rFonts w:ascii="Arial" w:hAnsi="Arial"/>
          <w:b/>
          <w:sz w:val="20"/>
          <w:szCs w:val="20"/>
        </w:rPr>
        <w:t>OGGETTO</w:t>
      </w:r>
      <w:r w:rsidRPr="00144A80">
        <w:rPr>
          <w:rFonts w:ascii="Calibri" w:hAnsi="Calibri"/>
          <w:b/>
        </w:rPr>
        <w:t xml:space="preserve">: </w:t>
      </w:r>
      <w:r w:rsidR="006B7692" w:rsidRPr="006B7692">
        <w:rPr>
          <w:rFonts w:ascii="Calibri" w:hAnsi="Calibri"/>
          <w:b/>
        </w:rPr>
        <w:t xml:space="preserve">GARA EUROPEA A PROCEDURA APERTA PER LA FORNITURA DI N. 1 MICROSCOPIO OPERATORIO OCCORRENTE ALLA SC. DI NEUROCHIRUGIA DELL’ASST DI MONZA – </w:t>
      </w:r>
      <w:r w:rsidR="006B7692">
        <w:rPr>
          <w:rFonts w:ascii="Calibri" w:hAnsi="Calibri"/>
          <w:b/>
        </w:rPr>
        <w:t>CIG</w:t>
      </w:r>
      <w:r w:rsidR="006B7692" w:rsidRPr="006B7692">
        <w:rPr>
          <w:rFonts w:ascii="Calibri" w:hAnsi="Calibri"/>
          <w:b/>
        </w:rPr>
        <w:t>: 8582693651</w:t>
      </w:r>
      <w:r w:rsidR="006B7692">
        <w:rPr>
          <w:rFonts w:ascii="Calibri" w:hAnsi="Calibri"/>
          <w:b/>
        </w:rPr>
        <w:t xml:space="preserve"> – Atti 892_1/PA/2020</w:t>
      </w:r>
    </w:p>
    <w:p w:rsidR="006B7692" w:rsidRDefault="006B7692" w:rsidP="003015B4">
      <w:pPr>
        <w:jc w:val="both"/>
        <w:rPr>
          <w:rFonts w:ascii="Calibri" w:hAnsi="Calibri"/>
          <w:b/>
        </w:rPr>
      </w:pPr>
    </w:p>
    <w:p w:rsidR="0057183E" w:rsidRDefault="0057183E" w:rsidP="003015B4">
      <w:pPr>
        <w:jc w:val="both"/>
        <w:rPr>
          <w:rFonts w:ascii="Calibri" w:hAnsi="Calibri"/>
          <w:b/>
        </w:rPr>
      </w:pPr>
    </w:p>
    <w:p w:rsidR="0057183E" w:rsidRPr="003015B4" w:rsidRDefault="0057183E"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w:t>
      </w:r>
      <w:bookmarkStart w:id="0" w:name="_GoBack"/>
      <w:bookmarkEnd w:id="0"/>
      <w:r w:rsidRPr="003015B4">
        <w:rPr>
          <w:rFonts w:ascii="Century Gothic" w:hAnsi="Century Gothic"/>
          <w:sz w:val="20"/>
          <w:szCs w:val="20"/>
        </w:rPr>
        <w:t>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lastRenderedPageBreak/>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144A80">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lastRenderedPageBreak/>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lastRenderedPageBreak/>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A80" w:rsidRDefault="00144A80" w:rsidP="00A93C55">
      <w:r>
        <w:separator/>
      </w:r>
    </w:p>
  </w:endnote>
  <w:endnote w:type="continuationSeparator" w:id="0">
    <w:p w:rsidR="00144A80" w:rsidRDefault="00144A80"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altName w:val="Times New Roman"/>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144A80" w:rsidRDefault="009E2C33">
        <w:pPr>
          <w:pStyle w:val="Pidipagina"/>
          <w:jc w:val="right"/>
        </w:pPr>
        <w:r>
          <w:fldChar w:fldCharType="begin"/>
        </w:r>
        <w:r>
          <w:instrText>PAGE   \* MERGEFORMAT</w:instrText>
        </w:r>
        <w:r>
          <w:fldChar w:fldCharType="separate"/>
        </w:r>
        <w:r>
          <w:rPr>
            <w:noProof/>
          </w:rPr>
          <w:t>2</w:t>
        </w:r>
        <w:r>
          <w:rPr>
            <w:noProof/>
          </w:rPr>
          <w:fldChar w:fldCharType="end"/>
        </w:r>
      </w:p>
    </w:sdtContent>
  </w:sdt>
  <w:p w:rsidR="00144A80" w:rsidRDefault="00144A80"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Pr="00A7524C" w:rsidRDefault="00144A80"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144A80" w:rsidRPr="00BF34D4" w:rsidRDefault="00144A80"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144A80" w:rsidRDefault="00144A80" w:rsidP="00B96456">
    <w:pPr>
      <w:tabs>
        <w:tab w:val="center" w:pos="4819"/>
        <w:tab w:val="right" w:pos="9638"/>
      </w:tabs>
      <w:spacing w:before="40"/>
      <w:ind w:left="-851" w:right="-1276"/>
      <w:jc w:val="center"/>
      <w:rPr>
        <w:rFonts w:ascii="Verdana" w:hAnsi="Verdana" w:cs="Arial"/>
        <w:sz w:val="18"/>
        <w:szCs w:val="18"/>
      </w:rPr>
    </w:pPr>
  </w:p>
  <w:p w:rsidR="00144A80" w:rsidRDefault="00144A80"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144A80" w:rsidRDefault="00144A80"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144A80" w:rsidRPr="00125C56" w:rsidRDefault="00144A80"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144A80" w:rsidRDefault="00144A80"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144A80" w:rsidRPr="00125C56" w:rsidRDefault="009E2C33" w:rsidP="00B96456">
    <w:pPr>
      <w:jc w:val="center"/>
      <w:rPr>
        <w:rFonts w:ascii="Arial" w:hAnsi="Arial" w:cs="Arial"/>
        <w:sz w:val="16"/>
        <w:szCs w:val="16"/>
      </w:rPr>
    </w:pPr>
    <w:hyperlink r:id="rId2" w:history="1">
      <w:r w:rsidR="00144A80" w:rsidRPr="00125C56">
        <w:rPr>
          <w:rStyle w:val="Collegamentoipertestuale"/>
          <w:rFonts w:ascii="Arial" w:hAnsi="Arial" w:cs="Arial"/>
          <w:color w:val="auto"/>
          <w:sz w:val="16"/>
          <w:szCs w:val="16"/>
          <w:u w:val="none"/>
        </w:rPr>
        <w:t>www.asst-monza.it</w:t>
      </w:r>
    </w:hyperlink>
    <w:r w:rsidR="00144A80" w:rsidRPr="00125C56">
      <w:rPr>
        <w:rFonts w:ascii="Arial" w:hAnsi="Arial" w:cs="Arial"/>
        <w:sz w:val="16"/>
        <w:szCs w:val="16"/>
      </w:rPr>
      <w:t xml:space="preserve"> </w:t>
    </w:r>
    <w:r w:rsidR="00144A80">
      <w:rPr>
        <w:rFonts w:ascii="Arial" w:hAnsi="Arial" w:cs="Arial"/>
        <w:sz w:val="16"/>
        <w:szCs w:val="16"/>
      </w:rPr>
      <w:t xml:space="preserve"> </w:t>
    </w:r>
    <w:r w:rsidR="00144A80" w:rsidRPr="00125C56">
      <w:rPr>
        <w:rFonts w:ascii="Arial" w:hAnsi="Arial" w:cs="Arial"/>
        <w:sz w:val="16"/>
        <w:szCs w:val="16"/>
      </w:rPr>
      <w:t>P.IVA 09314290967 C.F. 09314290967</w:t>
    </w:r>
  </w:p>
  <w:p w:rsidR="00144A80" w:rsidRDefault="00144A80" w:rsidP="00B96456">
    <w:pPr>
      <w:pStyle w:val="Pidipagina"/>
      <w:jc w:val="center"/>
    </w:pPr>
  </w:p>
  <w:p w:rsidR="00144A80" w:rsidRDefault="00144A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A80" w:rsidRDefault="00144A80" w:rsidP="00A93C55">
      <w:r>
        <w:separator/>
      </w:r>
    </w:p>
  </w:footnote>
  <w:footnote w:type="continuationSeparator" w:id="0">
    <w:p w:rsidR="00144A80" w:rsidRDefault="00144A80"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Default="00144A80"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Pr="009E2C33" w:rsidRDefault="009E2C33" w:rsidP="003015B4">
    <w:pPr>
      <w:pStyle w:val="Intestazione"/>
      <w:tabs>
        <w:tab w:val="left" w:pos="285"/>
      </w:tabs>
      <w:jc w:val="both"/>
    </w:pPr>
    <w:r>
      <w:t>Allegato 1 ter</w:t>
    </w:r>
    <w:r w:rsidR="00144A80">
      <w:tab/>
    </w:r>
    <w:r w:rsidR="00144A80">
      <w:tab/>
    </w:r>
    <w:r w:rsidR="00144A80"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144A80" w:rsidRDefault="00144A80" w:rsidP="003015B4">
    <w:pPr>
      <w:pStyle w:val="Intestazione"/>
      <w:tabs>
        <w:tab w:val="left" w:pos="285"/>
      </w:tabs>
      <w:jc w:val="right"/>
    </w:pPr>
  </w:p>
  <w:p w:rsidR="00144A80" w:rsidRDefault="00144A80"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639F4"/>
    <w:rsid w:val="00080869"/>
    <w:rsid w:val="000A208D"/>
    <w:rsid w:val="000C5AFE"/>
    <w:rsid w:val="000F6D29"/>
    <w:rsid w:val="0012300E"/>
    <w:rsid w:val="00125C56"/>
    <w:rsid w:val="00142D50"/>
    <w:rsid w:val="00144A80"/>
    <w:rsid w:val="00146B39"/>
    <w:rsid w:val="0015422F"/>
    <w:rsid w:val="00186E6B"/>
    <w:rsid w:val="001E452A"/>
    <w:rsid w:val="00222815"/>
    <w:rsid w:val="00233A5E"/>
    <w:rsid w:val="00243279"/>
    <w:rsid w:val="00260C7A"/>
    <w:rsid w:val="00276E29"/>
    <w:rsid w:val="00291CAA"/>
    <w:rsid w:val="00293B0C"/>
    <w:rsid w:val="002C7FDF"/>
    <w:rsid w:val="002F72D3"/>
    <w:rsid w:val="003015B4"/>
    <w:rsid w:val="00304E16"/>
    <w:rsid w:val="0033534A"/>
    <w:rsid w:val="00335E91"/>
    <w:rsid w:val="00336F65"/>
    <w:rsid w:val="0035588F"/>
    <w:rsid w:val="0039345A"/>
    <w:rsid w:val="003C5150"/>
    <w:rsid w:val="003D2BB2"/>
    <w:rsid w:val="004065C9"/>
    <w:rsid w:val="00453CFC"/>
    <w:rsid w:val="004666C3"/>
    <w:rsid w:val="00470AEB"/>
    <w:rsid w:val="004721E9"/>
    <w:rsid w:val="004727B7"/>
    <w:rsid w:val="00492551"/>
    <w:rsid w:val="004C23DC"/>
    <w:rsid w:val="004C4C91"/>
    <w:rsid w:val="004E789A"/>
    <w:rsid w:val="005277CE"/>
    <w:rsid w:val="00544028"/>
    <w:rsid w:val="0057183E"/>
    <w:rsid w:val="00576A82"/>
    <w:rsid w:val="005855D5"/>
    <w:rsid w:val="005E79FE"/>
    <w:rsid w:val="005F6A3F"/>
    <w:rsid w:val="006030AC"/>
    <w:rsid w:val="00623262"/>
    <w:rsid w:val="006555CD"/>
    <w:rsid w:val="006B118E"/>
    <w:rsid w:val="006B7692"/>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723C4"/>
    <w:rsid w:val="00883AC6"/>
    <w:rsid w:val="00892611"/>
    <w:rsid w:val="008A7E7D"/>
    <w:rsid w:val="008B6957"/>
    <w:rsid w:val="008D2E35"/>
    <w:rsid w:val="00923821"/>
    <w:rsid w:val="00966FD6"/>
    <w:rsid w:val="009722E4"/>
    <w:rsid w:val="0097406C"/>
    <w:rsid w:val="00983E1D"/>
    <w:rsid w:val="00987150"/>
    <w:rsid w:val="009E2C33"/>
    <w:rsid w:val="009E3AA1"/>
    <w:rsid w:val="009E68D4"/>
    <w:rsid w:val="00A2525D"/>
    <w:rsid w:val="00A74E48"/>
    <w:rsid w:val="00A7524C"/>
    <w:rsid w:val="00A75A17"/>
    <w:rsid w:val="00A93C55"/>
    <w:rsid w:val="00AB0945"/>
    <w:rsid w:val="00AD3586"/>
    <w:rsid w:val="00B65072"/>
    <w:rsid w:val="00B67E57"/>
    <w:rsid w:val="00B7395F"/>
    <w:rsid w:val="00B96456"/>
    <w:rsid w:val="00BB753A"/>
    <w:rsid w:val="00BF34D4"/>
    <w:rsid w:val="00C241EC"/>
    <w:rsid w:val="00C642AA"/>
    <w:rsid w:val="00C918D9"/>
    <w:rsid w:val="00C95201"/>
    <w:rsid w:val="00CA2BF1"/>
    <w:rsid w:val="00CA65C4"/>
    <w:rsid w:val="00CB3EA3"/>
    <w:rsid w:val="00CB4821"/>
    <w:rsid w:val="00CB7D3C"/>
    <w:rsid w:val="00CE2B77"/>
    <w:rsid w:val="00CE7D94"/>
    <w:rsid w:val="00D03B1B"/>
    <w:rsid w:val="00D14546"/>
    <w:rsid w:val="00D25810"/>
    <w:rsid w:val="00D93627"/>
    <w:rsid w:val="00DB5C43"/>
    <w:rsid w:val="00DC7823"/>
    <w:rsid w:val="00DC7CE4"/>
    <w:rsid w:val="00E01DD1"/>
    <w:rsid w:val="00E07E2F"/>
    <w:rsid w:val="00E30BBF"/>
    <w:rsid w:val="00E346B9"/>
    <w:rsid w:val="00E41CF0"/>
    <w:rsid w:val="00E44D7D"/>
    <w:rsid w:val="00E959E5"/>
    <w:rsid w:val="00EA5A56"/>
    <w:rsid w:val="00ED561F"/>
    <w:rsid w:val="00F26BE1"/>
    <w:rsid w:val="00F443A3"/>
    <w:rsid w:val="00F61D0F"/>
    <w:rsid w:val="00F62441"/>
    <w:rsid w:val="00F73400"/>
    <w:rsid w:val="00F73964"/>
    <w:rsid w:val="00F8448B"/>
    <w:rsid w:val="00FA1FF5"/>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3489"/>
    <o:shapelayout v:ext="edit">
      <o:idmap v:ext="edit" data="1"/>
    </o:shapelayout>
  </w:shapeDefaults>
  <w:decimalSymbol w:val="."/>
  <w:listSeparator w:val=";"/>
  <w14:docId w14:val="3E17FC68"/>
  <w15:docId w15:val="{01F6C26D-1820-493E-8E5B-E3A1EBB4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024C-27BA-4F56-9341-C0F7AC6E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2950</Words>
  <Characters>16818</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24</cp:revision>
  <cp:lastPrinted>2020-06-19T13:07:00Z</cp:lastPrinted>
  <dcterms:created xsi:type="dcterms:W3CDTF">2019-03-26T09:46:00Z</dcterms:created>
  <dcterms:modified xsi:type="dcterms:W3CDTF">2021-01-11T14:31:00Z</dcterms:modified>
</cp:coreProperties>
</file>