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1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2184"/>
        <w:gridCol w:w="2430"/>
        <w:gridCol w:w="2214"/>
        <w:gridCol w:w="2320"/>
        <w:gridCol w:w="1842"/>
        <w:gridCol w:w="1969"/>
        <w:gridCol w:w="1300"/>
      </w:tblGrid>
      <w:tr w:rsidR="00DD776A" w:rsidRPr="00A0498F" w:rsidTr="00C87F41">
        <w:trPr>
          <w:trHeight w:val="399"/>
        </w:trPr>
        <w:tc>
          <w:tcPr>
            <w:tcW w:w="14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2CE" w:rsidRDefault="00D232CE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</w:rPr>
              <w:t>ATTIVITA’ E PROCEDIMENTI</w:t>
            </w:r>
            <w:r>
              <w:rPr>
                <w:b/>
                <w:sz w:val="20"/>
                <w:szCs w:val="20"/>
              </w:rPr>
              <w:t xml:space="preserve"> INTERNI</w:t>
            </w:r>
          </w:p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S.C. ECONOMICO </w:t>
            </w:r>
            <w:r w:rsidR="00C72517" w:rsidRPr="00A0498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–</w:t>
            </w:r>
            <w:r w:rsidRPr="00A0498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FINANZIARIA</w:t>
            </w:r>
          </w:p>
        </w:tc>
      </w:tr>
      <w:tr w:rsidR="00DD776A" w:rsidRPr="00A0498F" w:rsidTr="00C87F41">
        <w:trPr>
          <w:trHeight w:val="84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A) MACROAREA 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PROCEDIMENTO.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B) SINGOLI 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PROCEDIMENTI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E91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 xml:space="preserve"> C)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 TIPO DI PROVVEDIMENTO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br/>
              <w:t>CONCLUSIVO PROCEDIMENTO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br/>
              <w:t>(</w:t>
            </w:r>
            <w:r w:rsidR="00E91736"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delibera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, lettera, etc.)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D) RIFERIMENTI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NORMATIVI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E) TERMINE DI CONCLUSIONE DEL PROCEDIMENTO (N°GIORNI)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F) NOMINATIVO DEL RESPONSABILE DEL PROCEDIMENTO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G)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 MODULISTICA</w:t>
            </w:r>
          </w:p>
        </w:tc>
      </w:tr>
      <w:tr w:rsidR="00832C1B" w:rsidRPr="00A0498F" w:rsidTr="00C87F41">
        <w:trPr>
          <w:trHeight w:val="126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BILANCIO PREVENTIVO ANNUALE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FC0" w:rsidRPr="00A0498F" w:rsidRDefault="00560FC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Redazione documentazione BPE</w:t>
            </w:r>
          </w:p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(Bilancio "solo conto economico", Nota integrativa, Relazione D.G, Piano degli investimenti, Budget di cassa, altri allegati richiesti da Regione Lombardia)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E91736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Delibera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0498F" w:rsidP="00342882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D.Lgs</w:t>
            </w:r>
            <w:proofErr w:type="spellEnd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118/2011 e DGR, Decreti e linee guida specificatamente emessi da DG Welfare e Presidenza – Direzione Centrale Bilancio e Finanza per la redazione del BPE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342882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Specifico termine stabilito di volt</w:t>
            </w:r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a in volta da Regione Lombardia. Il </w:t>
            </w:r>
            <w:proofErr w:type="spellStart"/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D.Lgs</w:t>
            </w:r>
            <w:proofErr w:type="spellEnd"/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n.118/2011 fissa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 la scadenza </w:t>
            </w:r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al 31.12.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517" w:rsidRPr="00A0498F" w:rsidRDefault="00012944" w:rsidP="0056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C72517" w:rsidRPr="00A0498F" w:rsidRDefault="00832C1B" w:rsidP="0056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</w:r>
            <w:r w:rsidR="00012944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tel. 039/2339805</w:t>
            </w:r>
          </w:p>
          <w:p w:rsidR="00832C1B" w:rsidRPr="00A0498F" w:rsidRDefault="00832C1B" w:rsidP="0056420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</w:t>
            </w:r>
            <w:r w:rsidR="00012944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t.genco@</w:t>
            </w:r>
            <w:r w:rsidR="00564200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asst-monza.it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832C1B" w:rsidRPr="00A0498F" w:rsidTr="00C87F41">
        <w:trPr>
          <w:trHeight w:val="1260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BILANCIO D'ESERCIZIO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560FC0">
            <w:pPr>
              <w:spacing w:after="24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Redazione documentazione</w:t>
            </w:r>
            <w:r w:rsidR="00560FC0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BES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(Bilancio, Nota integrativa, Relazione sulla gestione, Rendiconto Finanziario, altri allegati richiesti da Regione Lombardia)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Delibera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0498F" w:rsidP="00342882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highlight w:val="yellow"/>
                <w:lang w:eastAsia="it-IT"/>
              </w:rPr>
            </w:pPr>
            <w:proofErr w:type="spellStart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D.Lgs</w:t>
            </w:r>
            <w:proofErr w:type="spellEnd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118/2011 e DGR, Decreti e linee guida specificatamente emessi da DG Welfare e Presidenza – Direzione Centrale Bilancio e Finanza per la redazione del Bilancio d’Esercizio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E8D" w:rsidRDefault="00832C1B" w:rsidP="00302E8D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Specifico termine stabilito di volta in volta da Regione Lombardia (da </w:t>
            </w:r>
            <w:proofErr w:type="spellStart"/>
            <w:proofErr w:type="gramStart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D.Lgs</w:t>
            </w:r>
            <w:proofErr w:type="gramEnd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proofErr w:type="spellEnd"/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n.118/2011 la scadenza dovrebbe essere il 30 aprile </w:t>
            </w:r>
          </w:p>
          <w:p w:rsidR="00832C1B" w:rsidRPr="00A0498F" w:rsidRDefault="00302E8D" w:rsidP="00302E8D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di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ogni anno)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 xml:space="preserve">      tel. 039/2339805</w:t>
            </w:r>
          </w:p>
          <w:p w:rsidR="00832C1B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832C1B" w:rsidRPr="00A0498F" w:rsidTr="00C87F41">
        <w:trPr>
          <w:trHeight w:val="948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RENDICONTAZIONE TRIMESTRALE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(CET)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85B" w:rsidRPr="00A0498F" w:rsidRDefault="00832C1B" w:rsidP="00C058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Redazione documentazione</w:t>
            </w:r>
            <w:r w:rsidR="00BD221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CET</w:t>
            </w:r>
          </w:p>
          <w:p w:rsidR="00832C1B" w:rsidRPr="00A0498F" w:rsidRDefault="00832C1B" w:rsidP="00C058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(Conto Economico trimestrale, Nota Integrativa, Relazione DG, altri allegati richiesti da Regione Lombardia)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Certificazione Direttore Generale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0498F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F71CF9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Legge Regione Lombardia n.33/2009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s.m.i.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ntro il 15 del mese successivo alla chiusura di ciascun trimestre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 xml:space="preserve">      tel. 039/2339805</w:t>
            </w:r>
          </w:p>
          <w:p w:rsidR="00832C1B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832C1B" w:rsidRPr="00A0498F" w:rsidTr="00C87F41">
        <w:trPr>
          <w:trHeight w:val="792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C1B" w:rsidRPr="00A0498F" w:rsidRDefault="00D232CE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85B" w:rsidRPr="00A0498F" w:rsidRDefault="00832C1B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ANAGRAFE DELLE 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PRESTAZIONI</w:t>
            </w:r>
          </w:p>
          <w:p w:rsidR="00832C1B" w:rsidRPr="00A0498F" w:rsidRDefault="00832C1B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(COMPENSI AD ESTERNI)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Comunicazione agli enti di appartenenza dei compensi erogati a dipendenti pubblici per attività extra lavorativa non compresa nei doveri d'ufficio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A42420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L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ettera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A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rt. 53 D. </w:t>
            </w:r>
            <w:proofErr w:type="spellStart"/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Lgs</w:t>
            </w:r>
            <w:proofErr w:type="spellEnd"/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 165/2001; art. 1 comma 42 </w:t>
            </w:r>
            <w:proofErr w:type="spellStart"/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Legge</w:t>
            </w:r>
            <w:proofErr w:type="spellEnd"/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 190/2012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A42420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ntro 15 giorni </w:t>
            </w:r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dal pagamento del c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ompenso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 xml:space="preserve">      tel. 039/2339805</w:t>
            </w:r>
          </w:p>
          <w:p w:rsidR="00832C1B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C1B" w:rsidRPr="00A0498F" w:rsidRDefault="00342882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M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odello autorizzazione ente</w:t>
            </w:r>
          </w:p>
        </w:tc>
      </w:tr>
      <w:tr w:rsidR="00832C1B" w:rsidRPr="00A0498F" w:rsidTr="00C87F41">
        <w:trPr>
          <w:trHeight w:val="126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D232CE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1302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CERTIFICAZIONE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 DEI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SOSTITUTI D'IMPOSTA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Trasmissione 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delle certificazioni dei redditi erogati nell'anno precedente dai Sostituti d'imposta agli interessati, previo controllo delle ritenute trattenute e versate per persone fisiche, studi professionali e società tenuti</w:t>
            </w:r>
            <w:r w:rsidR="002F226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alla dichiarazione dei redditi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42420" w:rsidP="00A42420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T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rasmission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 delle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certificazione dei compensi erogati dal sostituto d'imposta tramite lettera RR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832C1B" w:rsidP="00C23E0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DPR 22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07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1998 n.322 e </w:t>
            </w:r>
            <w:proofErr w:type="spellStart"/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s.m.i.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C1B" w:rsidRPr="00A0498F" w:rsidRDefault="00A0498F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Entro il 28 febbraio di ogni anno o diversa scadenza stabilita dal governo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832C1B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C1B" w:rsidRPr="00A0498F" w:rsidRDefault="00342882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</w:t>
            </w:r>
            <w:r w:rsidR="00832C1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ertificazione compensi</w:t>
            </w:r>
          </w:p>
        </w:tc>
      </w:tr>
      <w:tr w:rsidR="00DD776A" w:rsidRPr="00A0498F" w:rsidTr="00A21CCD">
        <w:trPr>
          <w:trHeight w:val="1293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232CE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FATTURAZIONE ATTIVA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Emissione delle f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atture attive nell’ambito di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rapporti convenzionali con altre strutture sanitarie, privati e nell’ambito dello svolgimento dell’attività commerciale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Fattura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Codice civile; DPR 633/72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6E5D8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Entro 30 g</w:t>
            </w:r>
            <w:r w:rsidR="006E5D80"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iorni</w:t>
            </w: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 xml:space="preserve"> dal ricevimento      della documentazione di    riferimento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DD776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DD776A" w:rsidRPr="00A0498F" w:rsidTr="003C1DE0">
        <w:trPr>
          <w:trHeight w:val="1264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232CE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GESTIONE INCASSI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Regolazione contabile delle posizioni creditorie aziendali mediante l’accertamento dei provvisori d’incasso accreditati dal Tesoriere o dei versam</w:t>
            </w:r>
            <w:r w:rsidR="002F226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enti effettuati sul C/C postale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C85324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Ordinativi di incasso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E07" w:rsidRDefault="00DD776A" w:rsidP="00C23E0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Codice civile, D.lgs. 633/42,</w:t>
            </w:r>
          </w:p>
          <w:p w:rsidR="00DD776A" w:rsidRPr="00A0498F" w:rsidRDefault="00DD776A" w:rsidP="00DE5620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L.R. 33/2009; Circolare n. 15 del 10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06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2008 Ministero dell’Economia e </w:t>
            </w:r>
            <w:r w:rsidRPr="00DE5620">
              <w:rPr>
                <w:rFonts w:eastAsia="Times New Roman" w:cstheme="minorHAnsi"/>
                <w:sz w:val="14"/>
                <w:szCs w:val="14"/>
                <w:lang w:eastAsia="it-IT"/>
              </w:rPr>
              <w:t xml:space="preserve">delle Finanze; D.M. </w:t>
            </w:r>
            <w:r w:rsidR="00DE5620">
              <w:rPr>
                <w:rFonts w:eastAsia="Times New Roman" w:cstheme="minorHAnsi"/>
                <w:sz w:val="14"/>
                <w:szCs w:val="14"/>
                <w:lang w:eastAsia="it-IT"/>
              </w:rPr>
              <w:t>(</w:t>
            </w:r>
            <w:r w:rsidR="00DE5620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Ministero dell’Economia e </w:t>
            </w:r>
            <w:r w:rsidR="00DE5620" w:rsidRPr="00DE5620">
              <w:rPr>
                <w:rFonts w:eastAsia="Times New Roman" w:cstheme="minorHAnsi"/>
                <w:sz w:val="14"/>
                <w:szCs w:val="14"/>
                <w:lang w:eastAsia="it-IT"/>
              </w:rPr>
              <w:t>delle Finanze</w:t>
            </w:r>
            <w:r w:rsidR="00DE5620">
              <w:rPr>
                <w:rFonts w:eastAsia="Times New Roman" w:cstheme="minorHAnsi"/>
                <w:sz w:val="14"/>
                <w:szCs w:val="14"/>
                <w:lang w:eastAsia="it-IT"/>
              </w:rPr>
              <w:t>) dell’8.02.</w:t>
            </w:r>
            <w:bookmarkStart w:id="0" w:name="_GoBack"/>
            <w:bookmarkEnd w:id="0"/>
            <w:r w:rsidRPr="00DE5620">
              <w:rPr>
                <w:rFonts w:eastAsia="Times New Roman" w:cstheme="minorHAnsi"/>
                <w:sz w:val="14"/>
                <w:szCs w:val="14"/>
                <w:lang w:eastAsia="it-IT"/>
              </w:rPr>
              <w:t>2010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342882" w:rsidP="00302E8D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5/10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giorni ricevimento </w:t>
            </w:r>
            <w:r w:rsidR="00302E8D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provvisorio in entrata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DD776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3C1DE0" w:rsidRPr="00A0498F" w:rsidTr="00A21CCD">
        <w:trPr>
          <w:trHeight w:val="683"/>
        </w:trPr>
        <w:tc>
          <w:tcPr>
            <w:tcW w:w="14541" w:type="dxa"/>
            <w:gridSpan w:val="8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E0" w:rsidRPr="003C1DE0" w:rsidRDefault="003C1DE0" w:rsidP="003C1D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DE0">
              <w:rPr>
                <w:b/>
                <w:sz w:val="20"/>
                <w:szCs w:val="20"/>
              </w:rPr>
              <w:t>ATTIVITA’ E PROCEDIMENTI INTERNI</w:t>
            </w:r>
          </w:p>
          <w:p w:rsidR="003C1DE0" w:rsidRPr="003C1DE0" w:rsidRDefault="003C1DE0" w:rsidP="003C1D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1DE0">
              <w:rPr>
                <w:b/>
                <w:sz w:val="20"/>
                <w:szCs w:val="20"/>
              </w:rPr>
              <w:t>S.C. ECONOMICO – FINANZIARIA</w:t>
            </w:r>
          </w:p>
        </w:tc>
      </w:tr>
      <w:tr w:rsidR="003C1DE0" w:rsidRPr="00A0498F" w:rsidTr="00B7212A">
        <w:trPr>
          <w:trHeight w:val="84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A) MACROAREA 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PROCEDIMENTO.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B) SINGOLI 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PROCEDIMENTI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 xml:space="preserve"> C)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 TIPO DI PROVVEDIMENTO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br/>
              <w:t>CONCLUSIVO PROCEDIMENTO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br/>
              <w:t>(delibera, lettera, etc.)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D) RIFERIMENTI</w:t>
            </w: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br/>
              <w:t>NORMATIVI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E) TERMINE DI CONCLUSIONE DEL PROCEDIMENTO (N°GIORNI)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F) NOMINATIVO DEL RESPONSABILE DEL PROCEDIMENTO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E0" w:rsidRPr="00A0498F" w:rsidRDefault="003C1DE0" w:rsidP="00B72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G)</w:t>
            </w:r>
            <w:r w:rsidRPr="00A0498F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it-IT"/>
              </w:rPr>
              <w:t> MODULISTICA</w:t>
            </w:r>
          </w:p>
        </w:tc>
      </w:tr>
      <w:tr w:rsidR="00DD776A" w:rsidRPr="00A0498F" w:rsidTr="00C87F41">
        <w:trPr>
          <w:trHeight w:val="1572"/>
        </w:trPr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3C1DE0" w:rsidRDefault="00D232CE" w:rsidP="00A7108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4"/>
                <w:szCs w:val="14"/>
                <w:lang w:eastAsia="it-IT"/>
              </w:rPr>
            </w:pPr>
            <w:r w:rsidRPr="003C1DE0">
              <w:rPr>
                <w:rFonts w:eastAsia="Times New Roman" w:cstheme="minorHAnsi"/>
                <w:i/>
                <w:color w:val="00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18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PAGAMENTO A FORNITORI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A71084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G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esti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one contabile delle fatture di 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forniture di beni e servizi lavori e relativa istruttoria per il pagamento entro i termini di legge e contrattuali</w:t>
            </w: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Ordinativo di pagamento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Rispetto dei termini di legge contrattuali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30-60-90 giorni dalla data di ricevimento della fattura nel rispetto dei termini contrattuali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DD776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727" w:rsidRPr="00A0498F" w:rsidRDefault="00DD776A" w:rsidP="00B0472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modulo </w:t>
            </w:r>
            <w:proofErr w:type="gramStart"/>
            <w:r w:rsidR="00B04727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accensione  Anagraf</w:t>
            </w:r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ica</w:t>
            </w:r>
            <w:proofErr w:type="gramEnd"/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fornito</w:t>
            </w:r>
            <w:r w:rsidR="00B04727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re.</w:t>
            </w:r>
          </w:p>
          <w:p w:rsidR="00DD776A" w:rsidRPr="00A0498F" w:rsidRDefault="00DD776A" w:rsidP="00342882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</w:r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modulo conto corrente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dedicato fornitori</w:t>
            </w:r>
          </w:p>
        </w:tc>
      </w:tr>
      <w:tr w:rsidR="00DD776A" w:rsidRPr="00A0498F" w:rsidTr="00C87F41">
        <w:trPr>
          <w:trHeight w:val="1104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232CE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DCB" w:rsidRDefault="00C0585B" w:rsidP="00460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INADEMPIENZA </w:t>
            </w:r>
          </w:p>
          <w:p w:rsidR="00DD776A" w:rsidRPr="00A0498F" w:rsidRDefault="00460DCB" w:rsidP="00460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AGENZIA DELLE ENTRATE - RISCOSSIONE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587E3A" w:rsidP="00460DC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Verifica, </w:t>
            </w:r>
            <w:r w:rsidR="00460DCB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prima di effettuare un pagamento di importo superiore ad euro 5.000, se il beneficiario è inadempiente all’obbligo di versamento derivante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dalla notifica di una o più cartelle di pagamento 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1. Rilascio “Liberatoria”</w:t>
            </w:r>
            <w:r w:rsidR="004C1CBE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in caso di soggetto non moroso;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2. Sospensione del pagamento in caso di soggetto moroso</w:t>
            </w:r>
            <w:r w:rsidR="004C1CBE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;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4F6614" w:rsidP="004F661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 xml:space="preserve">Ex art. 48-bis 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val="en-US" w:eastAsia="it-IT"/>
              </w:rPr>
              <w:t>D.P.R. n. 602/1973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Ad avvenuto rilascio della certificazione di norma entro 5 gg lavorativi dalla data di richiesta nel caso della liberatoria; o in caso di sospensione del pagamento        </w:t>
            </w:r>
            <w:r w:rsidR="00F944B6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entro 60 gg. d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alla notifica dell’atto di pignoramento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DD776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DD776A" w:rsidRPr="00A0498F" w:rsidTr="00C87F41">
        <w:trPr>
          <w:trHeight w:val="480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232CE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CERTIFICAZIONE DEL CREDITO DA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 xml:space="preserve">      PARTE DELLA P.A.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Certificazione del Credito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Certificazione firmata digitalmente, utilizzando l'apposita piattaforma </w:t>
            </w:r>
            <w:r w:rsidR="0098237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informatica del MEF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D.L. n.16/2012, convertito, con modificazioni, dalla Legge n.44/2012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76A" w:rsidRPr="00A0498F" w:rsidRDefault="006E5D8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Entro </w:t>
            </w:r>
            <w:r w:rsidR="00DD776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30 giorni dal ricevimento dell'istanza di certificazione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DD776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76A" w:rsidRPr="00A0498F" w:rsidRDefault="00DD776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587E3A" w:rsidRPr="00A0498F" w:rsidTr="00C87F41">
        <w:trPr>
          <w:trHeight w:val="516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</w:t>
            </w:r>
            <w:r w:rsidR="00D232CE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2F46D4" w:rsidP="00E91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MONITORAGGIO DEBITI DELLE P.A.</w:t>
            </w:r>
            <w:r w:rsidR="00587E3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A71084" w:rsidP="002F226D">
            <w:pPr>
              <w:spacing w:after="0" w:line="160" w:lineRule="exact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ubblicazione sulla PCC 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delle fatture o richieste equivalenti di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pagamento emesse dal 1 luglio 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2014 e dei 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dati r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elativi ai debiti non estinti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entro il </w:t>
            </w:r>
            <w:r w:rsidR="0066137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gio</w:t>
            </w:r>
            <w:r w:rsidR="00C0585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rno 15 del mese successivo alla </w:t>
            </w:r>
            <w:r w:rsidR="0066137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scadenza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9E5271" w:rsidP="0098472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Pubblicazione delle fatture ricevute e dei pagamenti</w:t>
            </w:r>
            <w:r w:rsidR="0066137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sulla Piattaforma d</w:t>
            </w:r>
            <w:r w:rsidR="0098472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ella certificazione dei crediti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C23E0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Art. 27 del decreto legge 24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.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04/</w:t>
            </w:r>
            <w:r w:rsidR="00C23E07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201</w:t>
            </w:r>
            <w:r w:rsidR="009E527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4 n.66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9E5271" w:rsidP="0098237D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Entro il giorno 15 </w:t>
            </w:r>
            <w:r w:rsidR="002C6DB7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del mese </w:t>
            </w:r>
            <w:r w:rsidR="0066137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successivo alla scadenza 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587E3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587E3A" w:rsidRPr="00A0498F" w:rsidTr="00C87F41">
        <w:trPr>
          <w:trHeight w:val="480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D232CE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E91D9F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ADEMPIMENTI FISCALI</w:t>
            </w:r>
            <w:r w:rsidR="00587E3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Rilevazione delle imposte sui redditi da fabbricati, da impresa, sulle attività produttive e sui versamenti dell’imposta sul valore aggiunto per le transazioni effe</w:t>
            </w:r>
            <w:r w:rsidR="002F226D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ttuate nell’arco dell’esercizio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Modello UNICO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Codice civile, artt. 2423 e </w:t>
            </w:r>
            <w:proofErr w:type="spellStart"/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succ</w:t>
            </w:r>
            <w:proofErr w:type="spellEnd"/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., DPR 600/73 e </w:t>
            </w:r>
            <w:r w:rsidR="00A71084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s.m.i.</w:t>
            </w:r>
            <w:proofErr w:type="spellEnd"/>
            <w:r w:rsidR="00E91D9F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, DPR 633/72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 </w:t>
            </w:r>
            <w:r w:rsidR="00E91D9F"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 xml:space="preserve">Termini di legge per la presentazione </w:t>
            </w:r>
            <w:r w:rsidR="0098472A"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della Dichiarazione dei redditi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587E3A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sz w:val="14"/>
                <w:szCs w:val="14"/>
                <w:lang w:eastAsia="it-IT"/>
              </w:rPr>
              <w:t> </w:t>
            </w:r>
          </w:p>
        </w:tc>
      </w:tr>
      <w:tr w:rsidR="00012944" w:rsidRPr="00A0498F" w:rsidTr="00C87F41">
        <w:trPr>
          <w:trHeight w:val="480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D232CE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012944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highlight w:val="yellow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FLUSSI DI CASSA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1C63F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Rilevazione </w:t>
            </w:r>
            <w:r w:rsidR="00A260F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flussi di cassa in entrata e in uscita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4E0313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Prospetto flussi</w:t>
            </w:r>
            <w:r w:rsidR="00342882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prospettici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 di cassa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3B6BA2" w:rsidP="003E0E1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D.Lgs.118/2011, </w:t>
            </w:r>
            <w:r w:rsidR="003E0E14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Linee guida specificatamente emessi da </w:t>
            </w:r>
            <w:r w:rsidR="00266B9B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Regione Lombardia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2A4B0A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Specifico termine stabilito di volta in volta da Regione Lombardia 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012944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2944" w:rsidRPr="00A0498F" w:rsidRDefault="00012944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</w:p>
        </w:tc>
      </w:tr>
      <w:tr w:rsidR="00012944" w:rsidRPr="00A0498F" w:rsidTr="00C87F41">
        <w:trPr>
          <w:trHeight w:val="480"/>
        </w:trPr>
        <w:tc>
          <w:tcPr>
            <w:tcW w:w="2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D232CE" w:rsidP="00A71084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012944" w:rsidP="00DD7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INDICATORE DI TEMPESTIVITA’ DEI PAGAMENTI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524666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Pubblicazione sul sito internet istituzionale </w:t>
            </w:r>
            <w:r w:rsidR="00410CD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e sul portale Regionale SCRIBA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dell’indicatore trimestrale e annuale di tempestività dei pagamenti relativo agli acquisti di beni, servizi e forniture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524666" w:rsidP="0052466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Pubblicazione sul sito internet istituzionale </w:t>
            </w:r>
            <w:r w:rsidR="00410CD1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e sul portale Regionale SCRIBA </w:t>
            </w: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dell’indicatore trimestrale/annual</w:t>
            </w:r>
            <w:r w:rsidR="0098472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 di tempestività dei pagamenti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C23E07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DPCM del 22.09.</w:t>
            </w:r>
            <w:r w:rsidR="00524666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2014</w:t>
            </w:r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 xml:space="preserve">; Legge n. 145 del 30.122018 e </w:t>
            </w:r>
            <w:proofErr w:type="spellStart"/>
            <w:r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s.m.i.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944" w:rsidRPr="00A0498F" w:rsidRDefault="007F3D20" w:rsidP="00DD776A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Annuale entro il 31 Gennaio dell’anno successivo a quello di riferimento; Trimestrale entro il trentesimo giorno dalla conclusione d</w:t>
            </w:r>
            <w:r w:rsidR="0098472A"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el trimestre a cui si riferisce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t>dr. Toni Genco</w:t>
            </w:r>
          </w:p>
          <w:p w:rsidR="00E91736" w:rsidRPr="00A0498F" w:rsidRDefault="00E91736" w:rsidP="00E917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tel. 039/2339805</w:t>
            </w:r>
          </w:p>
          <w:p w:rsidR="00012944" w:rsidRPr="00A0498F" w:rsidRDefault="00E91736" w:rsidP="00E91736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color w:val="000000"/>
                <w:sz w:val="14"/>
                <w:szCs w:val="14"/>
                <w:lang w:eastAsia="it-IT"/>
              </w:rPr>
              <w:br/>
              <w:t>mail: t.genco@asst-monza.it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944" w:rsidRPr="00A0498F" w:rsidRDefault="00012944" w:rsidP="00DD776A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</w:p>
        </w:tc>
      </w:tr>
      <w:tr w:rsidR="00587E3A" w:rsidRPr="00A0498F" w:rsidTr="00C87F41">
        <w:trPr>
          <w:trHeight w:val="1044"/>
        </w:trPr>
        <w:tc>
          <w:tcPr>
            <w:tcW w:w="1454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B37E8C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Ai sensi dell'art. 2 c. 9-bis e 9-ter della Legge n. 241/1990 è stato individuato quale soggetto con potere sost</w:t>
            </w:r>
            <w:r w:rsidR="0039731E"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itutivo in caso di inerzia </w:t>
            </w:r>
            <w:r w:rsidR="00B37E8C"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del responsabile del procedimento afferente al Dipartimento Amministrativo il </w:t>
            </w:r>
            <w:r w:rsidR="00342882"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Direttore del Dipartimento </w:t>
            </w:r>
            <w:r w:rsidR="00B37E8C"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stesso, le cui funzioni, allo stato, nelle more di attribuzione dell’incarico, sono svolte dal Direttore Amministrativo dell’Azienda.</w:t>
            </w:r>
          </w:p>
          <w:p w:rsidR="00B37E8C" w:rsidRPr="00A0498F" w:rsidRDefault="00B37E8C" w:rsidP="00460DCB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Il privato potrà rivolgersi al predetto responsabile, Email: </w:t>
            </w:r>
            <w:hyperlink r:id="rId4" w:history="1">
              <w:r w:rsidR="00460DCB" w:rsidRPr="00BA478E">
                <w:rPr>
                  <w:rStyle w:val="Collegamentoipertestuale"/>
                  <w:rFonts w:eastAsia="Times New Roman" w:cstheme="minorHAnsi"/>
                  <w:b/>
                  <w:bCs/>
                  <w:sz w:val="14"/>
                  <w:szCs w:val="14"/>
                  <w:lang w:eastAsia="it-IT"/>
                </w:rPr>
                <w:t>protocollo.generale@asst-monza.it</w:t>
              </w:r>
            </w:hyperlink>
            <w:r w:rsidR="00460DCB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 n. di tel. 039 2331</w:t>
            </w:r>
            <w:r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, affinché entro un termine pari alla metà di quello originariamente previsto, concluda il procedimento attraverso le strutture competenti e con la nomina di un commissario. </w:t>
            </w:r>
          </w:p>
        </w:tc>
      </w:tr>
      <w:tr w:rsidR="00587E3A" w:rsidRPr="00A0498F" w:rsidTr="00C87F41">
        <w:trPr>
          <w:trHeight w:val="696"/>
        </w:trPr>
        <w:tc>
          <w:tcPr>
            <w:tcW w:w="14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E3A" w:rsidRPr="00A0498F" w:rsidRDefault="00587E3A" w:rsidP="00DD776A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</w:pPr>
            <w:r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Avverso i provvedimenti adotta</w:t>
            </w:r>
            <w:r w:rsidR="001043B2"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>ti da questa Azienda Socio Sanitaria Territoriale</w:t>
            </w:r>
            <w:r w:rsidRPr="00A0498F">
              <w:rPr>
                <w:rFonts w:eastAsia="Times New Roman" w:cstheme="minorHAnsi"/>
                <w:b/>
                <w:bCs/>
                <w:sz w:val="14"/>
                <w:szCs w:val="14"/>
                <w:lang w:eastAsia="it-IT"/>
              </w:rPr>
              <w:t xml:space="preserve"> l'interessato può proporre impugnativa mediante ricorso giurisdizionale avanti il giudice amministrativo o il giudice ordinario competente per materia e territorio ovvero proporre ricorso amministrativo al Presidente della Repubblica nei casi previsti dalla legge.</w:t>
            </w:r>
          </w:p>
        </w:tc>
      </w:tr>
    </w:tbl>
    <w:p w:rsidR="00F676FE" w:rsidRDefault="00F676FE"/>
    <w:p w:rsidR="003C1DE0" w:rsidRDefault="003C1DE0">
      <w:r>
        <w:t>Monza, 11.07.2022</w:t>
      </w:r>
    </w:p>
    <w:p w:rsidR="003C1DE0" w:rsidRDefault="003C1DE0"/>
    <w:sectPr w:rsidR="003C1DE0" w:rsidSect="00D232CE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E"/>
    <w:rsid w:val="00012944"/>
    <w:rsid w:val="00026363"/>
    <w:rsid w:val="0005273A"/>
    <w:rsid w:val="000B0F90"/>
    <w:rsid w:val="001043B2"/>
    <w:rsid w:val="0013028B"/>
    <w:rsid w:val="001C63F0"/>
    <w:rsid w:val="00232471"/>
    <w:rsid w:val="00266B9B"/>
    <w:rsid w:val="002A4B0A"/>
    <w:rsid w:val="002C6DB7"/>
    <w:rsid w:val="002F226D"/>
    <w:rsid w:val="002F46D4"/>
    <w:rsid w:val="00302E8D"/>
    <w:rsid w:val="00342882"/>
    <w:rsid w:val="0039731E"/>
    <w:rsid w:val="003B6BA2"/>
    <w:rsid w:val="003C1DE0"/>
    <w:rsid w:val="003D227F"/>
    <w:rsid w:val="003E0E13"/>
    <w:rsid w:val="003E0E14"/>
    <w:rsid w:val="00410CD1"/>
    <w:rsid w:val="00460DCB"/>
    <w:rsid w:val="004C1CBE"/>
    <w:rsid w:val="004E0313"/>
    <w:rsid w:val="004F6614"/>
    <w:rsid w:val="00524666"/>
    <w:rsid w:val="00560FC0"/>
    <w:rsid w:val="00564200"/>
    <w:rsid w:val="00587E3A"/>
    <w:rsid w:val="005F460C"/>
    <w:rsid w:val="00610ABE"/>
    <w:rsid w:val="0066137D"/>
    <w:rsid w:val="006E5D80"/>
    <w:rsid w:val="007A4B1C"/>
    <w:rsid w:val="007F3490"/>
    <w:rsid w:val="007F3D20"/>
    <w:rsid w:val="0081329A"/>
    <w:rsid w:val="00832C1B"/>
    <w:rsid w:val="00861CAD"/>
    <w:rsid w:val="00866B14"/>
    <w:rsid w:val="0098237D"/>
    <w:rsid w:val="00983BC0"/>
    <w:rsid w:val="0098472A"/>
    <w:rsid w:val="009C5D48"/>
    <w:rsid w:val="009E5271"/>
    <w:rsid w:val="009F4DA1"/>
    <w:rsid w:val="00A0498F"/>
    <w:rsid w:val="00A21CCD"/>
    <w:rsid w:val="00A260FA"/>
    <w:rsid w:val="00A42420"/>
    <w:rsid w:val="00A71084"/>
    <w:rsid w:val="00A8151D"/>
    <w:rsid w:val="00B04727"/>
    <w:rsid w:val="00B37E8C"/>
    <w:rsid w:val="00BD2212"/>
    <w:rsid w:val="00C0585B"/>
    <w:rsid w:val="00C23E07"/>
    <w:rsid w:val="00C26161"/>
    <w:rsid w:val="00C72517"/>
    <w:rsid w:val="00C84055"/>
    <w:rsid w:val="00C85324"/>
    <w:rsid w:val="00C87F41"/>
    <w:rsid w:val="00CE56B5"/>
    <w:rsid w:val="00D01349"/>
    <w:rsid w:val="00D232CE"/>
    <w:rsid w:val="00D42DE8"/>
    <w:rsid w:val="00DD776A"/>
    <w:rsid w:val="00DE5620"/>
    <w:rsid w:val="00E51F65"/>
    <w:rsid w:val="00E91736"/>
    <w:rsid w:val="00E91D9F"/>
    <w:rsid w:val="00EA3290"/>
    <w:rsid w:val="00EB443B"/>
    <w:rsid w:val="00F676FE"/>
    <w:rsid w:val="00F944B6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8A32"/>
  <w15:docId w15:val="{EA685114-9EFB-47C8-B848-DDFA887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2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58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7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generale@asst-mo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Monza e Brianza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martina-101980</dc:creator>
  <cp:lastModifiedBy>LOLLINI SONIA 110231</cp:lastModifiedBy>
  <cp:revision>9</cp:revision>
  <cp:lastPrinted>2017-11-14T12:25:00Z</cp:lastPrinted>
  <dcterms:created xsi:type="dcterms:W3CDTF">2022-07-11T13:26:00Z</dcterms:created>
  <dcterms:modified xsi:type="dcterms:W3CDTF">2022-07-11T13:59:00Z</dcterms:modified>
</cp:coreProperties>
</file>