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center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IL CONSULTORIO FAMILIARE</w:t>
      </w:r>
    </w:p>
    <w:p>
      <w:pPr>
        <w:pStyle w:val="Normal"/>
        <w:spacing w:lineRule="auto" w:line="240"/>
        <w:jc w:val="center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r>
    </w:p>
    <w:p>
      <w:pPr>
        <w:pStyle w:val="Normal"/>
        <w:spacing w:lineRule="auto" w:line="240"/>
        <w:jc w:val="center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AREA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: GRAVIDANZA E POST PARTUM “PERCORSO NASCITA”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ATTIVITA'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: MASSAGGIO INFANTILE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OPERATORI COINVOLTI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: OSTETRICA / INFERMIERA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DESTINATARI DELL'INTERVENTO: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Mamme e bambini nei primi mesi di vita. </w:t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Le neomamme possono contattare il consultorio per essere inseriti nelle liste di formazione dei gruppi.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DI COSA SI TRATTA: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Le mani della mamma e del papà attraverso semplici gesti aiutano il bambino a sviluppare sensazioni positive favorendone il rilassamento ed il benessere.</w:t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Attraverso il massaggio infantile i genitori scoprono un modo naturale di prendersi cura del proprio bambino.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COSTI: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Il corso di massaggio infantile è una prestazione gratuita. Non è richiesta alcuna prescrizione medica.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MODALITA' DI ACCESSO</w:t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20" w:right="0" w:hanging="36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su appuntamento tramite call center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pacing w:lineRule="auto" w:line="240"/>
        <w:ind w:left="720" w:right="0" w:hanging="36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presso le sedi consultoriali nei giorni e negli orari di segreteria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imes New Roman">
    <w:charset w:val="00"/>
    <w:family w:val="auto"/>
    <w:pitch w:val="default"/>
  </w:font>
  <w:font w:name="Calibri">
    <w:charset w:val="00"/>
    <w:family w:val="auto"/>
    <w:pitch w:val="default"/>
  </w:font>
  <w:font w:name="Symbol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egoe UI" w:cs="Tahoma"/>
        <w:color w:val="000000"/>
        <w:sz w:val="2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jc w:val="left"/>
    </w:pPr>
    <w:rPr>
      <w:rFonts w:ascii="Calibri" w:hAnsi="Calibri"/>
      <w:sz w:val="22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cp:revision>0</cp:revision>
</cp:coreProperties>
</file>