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B65" w:rsidRPr="00CD2AC6" w:rsidRDefault="004B7410" w:rsidP="004B7410">
      <w:pPr>
        <w:jc w:val="both"/>
        <w:rPr>
          <w:b/>
          <w:sz w:val="28"/>
          <w:szCs w:val="28"/>
        </w:rPr>
      </w:pPr>
      <w:r w:rsidRPr="00CD2AC6">
        <w:rPr>
          <w:b/>
          <w:sz w:val="28"/>
          <w:szCs w:val="28"/>
        </w:rPr>
        <w:t>Integrazione con l’infrastruttura informatica dell’IRCCS</w:t>
      </w:r>
    </w:p>
    <w:p w:rsidR="004B7410" w:rsidRDefault="004B7410" w:rsidP="004B7410">
      <w:pPr>
        <w:jc w:val="both"/>
      </w:pPr>
      <w:r w:rsidRPr="004B7410">
        <w:t xml:space="preserve">La Ditta affidataria dovrà effettuare la perfetta integrazione </w:t>
      </w:r>
      <w:r>
        <w:t>con la struttura informatica in essere presso la Fondazione IRCCS, pertanto d</w:t>
      </w:r>
      <w:r w:rsidRPr="004B7410">
        <w:t xml:space="preserve">i seguito vengono riportate le caratteristiche che devono essere rispettate per poter rispondere alle </w:t>
      </w:r>
      <w:r>
        <w:t>policy aziendali</w:t>
      </w:r>
      <w:r w:rsidRPr="004B7410">
        <w:t>.</w:t>
      </w:r>
    </w:p>
    <w:p w:rsidR="00000225" w:rsidRDefault="00000225" w:rsidP="004B7410">
      <w:pPr>
        <w:jc w:val="both"/>
      </w:pPr>
      <w:r w:rsidRPr="00000225">
        <w:t>Gli eventuali costi derivanti da tali integrazioni con applicativi di ditte terze dovranno essere a carico della ditta aggiudicataria.</w:t>
      </w:r>
    </w:p>
    <w:p w:rsidR="004B7410" w:rsidRPr="00CD2AC6" w:rsidRDefault="004B7410" w:rsidP="004B7410">
      <w:pPr>
        <w:jc w:val="both"/>
        <w:rPr>
          <w:b/>
          <w:i/>
          <w:u w:val="single"/>
        </w:rPr>
      </w:pPr>
      <w:r w:rsidRPr="00CD2AC6">
        <w:rPr>
          <w:b/>
          <w:i/>
          <w:u w:val="single"/>
        </w:rPr>
        <w:t>Integrazioni con applicativi aziendali in uso presso la Fondazione IRCCS</w:t>
      </w:r>
    </w:p>
    <w:p w:rsidR="00CD2AC6" w:rsidRDefault="004B7410" w:rsidP="004B7410">
      <w:pPr>
        <w:jc w:val="both"/>
      </w:pPr>
      <w:r>
        <w:t xml:space="preserve">Il sistema dovrà essere integrabile con l’attuale sistema PACS in uso in azienda Enterprise </w:t>
      </w:r>
      <w:proofErr w:type="spellStart"/>
      <w:r>
        <w:t>Imaging</w:t>
      </w:r>
      <w:proofErr w:type="spellEnd"/>
      <w:r>
        <w:t xml:space="preserve"> e con il sistema RIS Elefante entrambi prodotti e supportati dalla ditta AGFA.</w:t>
      </w:r>
      <w:r w:rsidR="004F0B03">
        <w:t xml:space="preserve">  </w:t>
      </w:r>
    </w:p>
    <w:p w:rsidR="00000225" w:rsidRDefault="00000225" w:rsidP="004B7410">
      <w:pPr>
        <w:jc w:val="both"/>
      </w:pPr>
      <w:r>
        <w:t xml:space="preserve">In particolare, a prescindere dalle soluzioni tecniche adottate, dovrà essere gestita la lista di lavoro (mediante integrazione HL7 o mediante DICOM). Non è ammessa l’acquisizione e archiviazione di </w:t>
      </w:r>
      <w:r w:rsidR="007F391A">
        <w:t>file DICOM</w:t>
      </w:r>
      <w:r>
        <w:t xml:space="preserve"> non corredate da informazioni anagrafiche consistenti ovvero incomplete.</w:t>
      </w:r>
    </w:p>
    <w:p w:rsidR="00000225" w:rsidRDefault="00000225" w:rsidP="004B7410">
      <w:pPr>
        <w:jc w:val="both"/>
      </w:pPr>
      <w:r>
        <w:t xml:space="preserve">In generale il modello adottato dall’IRCCS è di avere per ogni paziente un record anagrafico presente sulla banca anagrafiche centralizzata e identificabile mediante ID univoco. Per tale motivo le liste di lavoro devono essere importate con dati anagrafici che siano allineati alle anagrafiche aziendali. In particolare la lista operatoria può essere gestita tramite integrazione con l’applicativo </w:t>
      </w:r>
      <w:proofErr w:type="spellStart"/>
      <w:r>
        <w:t>Ormaweb</w:t>
      </w:r>
      <w:proofErr w:type="spellEnd"/>
      <w:r>
        <w:t xml:space="preserve"> sviluppato dalla ditta Dedalus e in uso presso i blocchi operatori dell’IRCCS.</w:t>
      </w:r>
    </w:p>
    <w:p w:rsidR="004B7410" w:rsidRPr="004B7410" w:rsidRDefault="00CD2AC6" w:rsidP="004B7410">
      <w:pPr>
        <w:jc w:val="both"/>
      </w:pPr>
      <w:r>
        <w:t xml:space="preserve">Viene lasciato alle ditte partecipanti di proporre un flusso di lavoro che preveda l’integrazione con </w:t>
      </w:r>
      <w:proofErr w:type="spellStart"/>
      <w:r>
        <w:t>Ormaweb</w:t>
      </w:r>
      <w:proofErr w:type="spellEnd"/>
      <w:r>
        <w:t xml:space="preserve"> e/o sistema RIS/PACS.</w:t>
      </w:r>
    </w:p>
    <w:p w:rsidR="004B7410" w:rsidRPr="00CD2AC6" w:rsidRDefault="004B7410" w:rsidP="004B7410">
      <w:pPr>
        <w:jc w:val="both"/>
        <w:rPr>
          <w:b/>
          <w:i/>
          <w:u w:val="single"/>
        </w:rPr>
      </w:pPr>
      <w:r w:rsidRPr="00CD2AC6">
        <w:rPr>
          <w:b/>
          <w:i/>
          <w:u w:val="single"/>
        </w:rPr>
        <w:t>Integrazioni con infrastruttura hardware in uso presso la Fondazione IRCCS</w:t>
      </w:r>
    </w:p>
    <w:p w:rsidR="00000225" w:rsidRPr="00000225" w:rsidRDefault="00CA4E04" w:rsidP="00000225">
      <w:pPr>
        <w:tabs>
          <w:tab w:val="left" w:pos="426"/>
        </w:tabs>
        <w:suppressAutoHyphens/>
        <w:spacing w:after="60"/>
        <w:jc w:val="both"/>
      </w:pPr>
      <w:r>
        <w:t>Di seguito vengono date le indicazioni relative alle componenti hardware eventualmente incluse in fornitura.</w:t>
      </w:r>
      <w:r w:rsidR="00000225">
        <w:t xml:space="preserve"> </w:t>
      </w:r>
      <w:r w:rsidR="00000225" w:rsidRPr="00000225">
        <w:t xml:space="preserve">La configurazione di tutti gli apparati dovrà uniformarsi alle policy adottate dall’Ente per la connessione in rete (accesso tramite </w:t>
      </w:r>
      <w:proofErr w:type="spellStart"/>
      <w:r w:rsidR="00000225" w:rsidRPr="00000225">
        <w:t>Acitve</w:t>
      </w:r>
      <w:proofErr w:type="spellEnd"/>
      <w:r w:rsidR="00000225" w:rsidRPr="00000225">
        <w:t xml:space="preserve"> Directory, indirizzi IP, </w:t>
      </w:r>
      <w:proofErr w:type="spellStart"/>
      <w:r w:rsidR="00000225" w:rsidRPr="00000225">
        <w:t>naming</w:t>
      </w:r>
      <w:proofErr w:type="spellEnd"/>
      <w:r w:rsidR="00000225" w:rsidRPr="00000225">
        <w:t xml:space="preserve"> convention, antivirus</w:t>
      </w:r>
      <w:r w:rsidR="007F391A">
        <w:t xml:space="preserve">, </w:t>
      </w:r>
      <w:proofErr w:type="spellStart"/>
      <w:r w:rsidR="007F391A">
        <w:t>etc</w:t>
      </w:r>
      <w:proofErr w:type="spellEnd"/>
      <w:r w:rsidR="007F391A">
        <w:t>…</w:t>
      </w:r>
      <w:r w:rsidR="00000225" w:rsidRPr="00000225">
        <w:t>).</w:t>
      </w:r>
    </w:p>
    <w:p w:rsidR="004B7410" w:rsidRDefault="00000225" w:rsidP="00000225">
      <w:pPr>
        <w:tabs>
          <w:tab w:val="left" w:pos="426"/>
        </w:tabs>
        <w:suppressAutoHyphens/>
        <w:spacing w:after="60"/>
        <w:jc w:val="both"/>
      </w:pPr>
      <w:r w:rsidRPr="00000225">
        <w:t>La connessione alla rete aziendale di qualsiasi macchina deve essere preventivamente autorizzata dalle strutture preposte dell’Ente Contraente</w:t>
      </w:r>
      <w:r>
        <w:t>.</w:t>
      </w:r>
    </w:p>
    <w:p w:rsidR="004B7410" w:rsidRPr="00CD2AC6" w:rsidRDefault="004B7410" w:rsidP="004B7410">
      <w:pPr>
        <w:jc w:val="both"/>
        <w:rPr>
          <w:i/>
        </w:rPr>
      </w:pPr>
      <w:r w:rsidRPr="00CD2AC6">
        <w:rPr>
          <w:i/>
        </w:rPr>
        <w:t>Componenti server</w:t>
      </w:r>
    </w:p>
    <w:p w:rsidR="004B7410" w:rsidRPr="004B7410" w:rsidRDefault="004B7410" w:rsidP="004B7410">
      <w:pPr>
        <w:jc w:val="both"/>
      </w:pPr>
      <w:r w:rsidRPr="004B7410">
        <w:t xml:space="preserve">La </w:t>
      </w:r>
      <w:r>
        <w:t>Fondazione IRCCS</w:t>
      </w:r>
      <w:r w:rsidRPr="004B7410">
        <w:t xml:space="preserve"> dispone di una propria infra</w:t>
      </w:r>
      <w:r w:rsidR="007440E5">
        <w:t>struttura di virtualizzazione e</w:t>
      </w:r>
      <w:r w:rsidRPr="004B7410">
        <w:t xml:space="preserve">, inoltre, usufruisce del </w:t>
      </w:r>
      <w:proofErr w:type="spellStart"/>
      <w:r w:rsidRPr="004B7410">
        <w:t>DataCenter</w:t>
      </w:r>
      <w:proofErr w:type="spellEnd"/>
      <w:r w:rsidRPr="004B7410">
        <w:t xml:space="preserve"> di Regione Lombardia. L’aggiudicatario potrà pertanto installare i propri applicativi su macchine virtuali all’interno di tale infrastruttura locale o sull’infrastruttura del Data Center a discrezione </w:t>
      </w:r>
      <w:r w:rsidR="00D37F72">
        <w:t>dell’IRCCS</w:t>
      </w:r>
      <w:r w:rsidRPr="004B7410">
        <w:t>.</w:t>
      </w:r>
    </w:p>
    <w:p w:rsidR="004B7410" w:rsidRPr="004B7410" w:rsidRDefault="004B7410" w:rsidP="004B7410">
      <w:pPr>
        <w:jc w:val="both"/>
      </w:pPr>
      <w:r w:rsidRPr="004B7410">
        <w:t>Alternativamente potranno essere installate macchine fisiche di completa gestione dell’aggiudicatario all’interno della sala macchine dell</w:t>
      </w:r>
      <w:r>
        <w:t>’IRCCS</w:t>
      </w:r>
      <w:r w:rsidRPr="004B7410">
        <w:t>.</w:t>
      </w:r>
    </w:p>
    <w:p w:rsidR="004B7410" w:rsidRPr="004B7410" w:rsidRDefault="004B7410" w:rsidP="004B7410">
      <w:pPr>
        <w:jc w:val="both"/>
      </w:pPr>
      <w:r w:rsidRPr="004B7410">
        <w:t xml:space="preserve">Nel caso di server fisici è demandata al fornitore l’assistenza sia hardware che sistemistica su sistemi operativi e data base, oltre alle componenti applicative. In particolare il supporto hardware deve essere garantito 24*7 con parti originali del produttore dei sistemi ed interventi on site per la sostituzione delle componenti guaste. La formula di assistenza sull’hardware deve essere full </w:t>
      </w:r>
      <w:proofErr w:type="spellStart"/>
      <w:r w:rsidRPr="004B7410">
        <w:t>risk</w:t>
      </w:r>
      <w:proofErr w:type="spellEnd"/>
      <w:r w:rsidRPr="004B7410">
        <w:t xml:space="preserve">. Le macchine dovranno essere installate negli armadi </w:t>
      </w:r>
      <w:proofErr w:type="spellStart"/>
      <w:r w:rsidRPr="004B7410">
        <w:t>rack</w:t>
      </w:r>
      <w:proofErr w:type="spellEnd"/>
      <w:r w:rsidRPr="004B7410">
        <w:t xml:space="preserve"> </w:t>
      </w:r>
      <w:r w:rsidR="00BC5F8C">
        <w:t xml:space="preserve">dell’IRCCS </w:t>
      </w:r>
      <w:r w:rsidRPr="004B7410">
        <w:t xml:space="preserve">nei locali individuati dal Servizio Informatico Aziendale. Tutti i server fisici dovranno supportare connessioni LAN a 1000 MB/s, essere dotati di alimentazione ridondante e in versione </w:t>
      </w:r>
      <w:proofErr w:type="spellStart"/>
      <w:r w:rsidRPr="004B7410">
        <w:t>rack</w:t>
      </w:r>
      <w:proofErr w:type="spellEnd"/>
      <w:r w:rsidRPr="004B7410">
        <w:t xml:space="preserve">. Dovranno essere forniti di proprie slitte di aggancio e di tutti gli accessori necessari a poter essere installati nei </w:t>
      </w:r>
      <w:proofErr w:type="spellStart"/>
      <w:r w:rsidRPr="004B7410">
        <w:t>rack</w:t>
      </w:r>
      <w:proofErr w:type="spellEnd"/>
      <w:r w:rsidRPr="004B7410">
        <w:t xml:space="preserve"> esistenti.</w:t>
      </w:r>
    </w:p>
    <w:p w:rsidR="004B7410" w:rsidRPr="004B7410" w:rsidRDefault="00BC5F8C" w:rsidP="004B7410">
      <w:pPr>
        <w:jc w:val="both"/>
      </w:pPr>
      <w:r>
        <w:lastRenderedPageBreak/>
        <w:t>In generale</w:t>
      </w:r>
      <w:r w:rsidR="004B7410" w:rsidRPr="004B7410">
        <w:t xml:space="preserve"> tutte le componenti software soggette a licenze commerciali (per esempio licenz</w:t>
      </w:r>
      <w:r w:rsidR="00D37F72">
        <w:t>e di data base) dovranno essere</w:t>
      </w:r>
      <w:r w:rsidR="004B7410" w:rsidRPr="004B7410">
        <w:t xml:space="preserve"> parte della fornitura e dovranno includere tutti gli aggiornamenti per l’intera durata del contratto, sia nel caso di server fisici che virtuali. </w:t>
      </w:r>
    </w:p>
    <w:p w:rsidR="004B7410" w:rsidRPr="004B7410" w:rsidRDefault="004B7410" w:rsidP="004B7410">
      <w:pPr>
        <w:jc w:val="both"/>
      </w:pPr>
      <w:r w:rsidRPr="004B7410">
        <w:t xml:space="preserve">In caso di sistemi Windows </w:t>
      </w:r>
      <w:proofErr w:type="spellStart"/>
      <w:r w:rsidRPr="004B7410">
        <w:t>based</w:t>
      </w:r>
      <w:proofErr w:type="spellEnd"/>
      <w:r w:rsidRPr="004B7410">
        <w:t xml:space="preserve">, i server dovranno essere preferibilmente dotati di versioni </w:t>
      </w:r>
      <w:r w:rsidR="007440E5">
        <w:t>a partire da Windows Server 2019</w:t>
      </w:r>
      <w:r w:rsidRPr="004B7410">
        <w:t xml:space="preserve">; per sistemi Linux le versioni delle distribuzioni dovranno essere allineate alle ultime release. </w:t>
      </w:r>
    </w:p>
    <w:p w:rsidR="004B7410" w:rsidRPr="004B7410" w:rsidRDefault="004B7410" w:rsidP="004B7410">
      <w:pPr>
        <w:jc w:val="both"/>
      </w:pPr>
      <w:r w:rsidRPr="004B7410">
        <w:t xml:space="preserve">Nel caso di server virtuali </w:t>
      </w:r>
      <w:r w:rsidR="009A074E">
        <w:t xml:space="preserve">su infrastruttura dell’IRCCS, </w:t>
      </w:r>
      <w:r w:rsidRPr="004B7410">
        <w:t xml:space="preserve">i sistemi dovranno garantire la compatibilità con ambiente VM Ware e prevedere l’installazione dei relativi </w:t>
      </w:r>
      <w:proofErr w:type="spellStart"/>
      <w:r w:rsidRPr="004B7410">
        <w:t>tool</w:t>
      </w:r>
      <w:proofErr w:type="spellEnd"/>
      <w:r w:rsidRPr="004B7410">
        <w:t xml:space="preserve"> di gestione. Macchine virtuali Windows </w:t>
      </w:r>
      <w:proofErr w:type="spellStart"/>
      <w:r w:rsidRPr="004B7410">
        <w:t>based</w:t>
      </w:r>
      <w:proofErr w:type="spellEnd"/>
      <w:r w:rsidRPr="004B7410">
        <w:t xml:space="preserve"> potranno essere </w:t>
      </w:r>
      <w:proofErr w:type="spellStart"/>
      <w:r w:rsidRPr="004B7410">
        <w:t>preconfigurate</w:t>
      </w:r>
      <w:proofErr w:type="spellEnd"/>
      <w:r w:rsidRPr="004B7410">
        <w:t xml:space="preserve"> dal servizio IT </w:t>
      </w:r>
      <w:r w:rsidR="00D37F72">
        <w:t>dell’IRCCS</w:t>
      </w:r>
      <w:r w:rsidRPr="004B7410">
        <w:t>, con il SO incluso, in base alle specifiche concordate. Le eventuali macchine Linux dovranno essere configurate dall’a</w:t>
      </w:r>
      <w:r w:rsidR="00D37F72">
        <w:t>ggiudicatario</w:t>
      </w:r>
      <w:r w:rsidRPr="004B7410">
        <w:t xml:space="preserve"> a cui rimane in carico anche l’eventuale fornitura delle licenze commerciali. </w:t>
      </w:r>
    </w:p>
    <w:p w:rsidR="004B7410" w:rsidRPr="004B7410" w:rsidRDefault="004B7410" w:rsidP="004B7410">
      <w:pPr>
        <w:jc w:val="both"/>
      </w:pPr>
      <w:r w:rsidRPr="004B7410">
        <w:t>Fornitura, installazione, manutenzione e assistenza sistemistica dei database necessari sono SEMPRE a carico dell’aggiudicatario.</w:t>
      </w:r>
    </w:p>
    <w:p w:rsidR="004B7410" w:rsidRPr="004B7410" w:rsidRDefault="004B7410" w:rsidP="004B7410">
      <w:pPr>
        <w:jc w:val="both"/>
      </w:pPr>
      <w:r w:rsidRPr="004B7410">
        <w:t xml:space="preserve">Rimane inteso che, sia nel caso di macchine fisiche che virtuali, l’amministrazione e il supporto sistemistico dei SO e dei DBMS rimangono completamente a carico del fornitore, incluse le operazioni di data base </w:t>
      </w:r>
      <w:proofErr w:type="spellStart"/>
      <w:r w:rsidRPr="004B7410">
        <w:t>administration</w:t>
      </w:r>
      <w:proofErr w:type="spellEnd"/>
      <w:r w:rsidRPr="004B7410">
        <w:t xml:space="preserve"> quali la configurazione dei back up, le verifiche di integrità dei </w:t>
      </w:r>
      <w:proofErr w:type="spellStart"/>
      <w:r w:rsidRPr="004B7410">
        <w:t>db</w:t>
      </w:r>
      <w:proofErr w:type="spellEnd"/>
      <w:r w:rsidRPr="004B7410">
        <w:t xml:space="preserve"> e più in generale le operazioni di </w:t>
      </w:r>
      <w:proofErr w:type="spellStart"/>
      <w:r w:rsidRPr="004B7410">
        <w:t>troubleshooting</w:t>
      </w:r>
      <w:proofErr w:type="spellEnd"/>
      <w:r w:rsidRPr="004B7410">
        <w:t>.</w:t>
      </w:r>
    </w:p>
    <w:p w:rsidR="004B7410" w:rsidRPr="004B7410" w:rsidRDefault="004B7410" w:rsidP="004B7410">
      <w:pPr>
        <w:jc w:val="both"/>
      </w:pPr>
      <w:r w:rsidRPr="004B7410">
        <w:t>Tutte le componenti server devono poter essere inserite all’interno del dominio aziendale, al fornitore viene data facoltà di essere amministratore dei propri sistemi sia con utenze di dominio (limitate al proprio sistema) sia con utenze locali. In particolare sarà assoluta cura del fornitore il mantenimento alla riservatezza delle proprie credenziali di accesso.</w:t>
      </w:r>
    </w:p>
    <w:p w:rsidR="004B7410" w:rsidRPr="004B7410" w:rsidRDefault="004B7410" w:rsidP="004B7410">
      <w:pPr>
        <w:jc w:val="both"/>
      </w:pPr>
      <w:r w:rsidRPr="004B7410">
        <w:t xml:space="preserve">Gli aggiornamenti di sicurezza del SO saranno gestiti dal SIA </w:t>
      </w:r>
      <w:r w:rsidR="00BC5F8C">
        <w:t>dell’IRCCS</w:t>
      </w:r>
      <w:r w:rsidR="00D37F72">
        <w:t xml:space="preserve"> </w:t>
      </w:r>
      <w:r w:rsidRPr="004B7410">
        <w:t>e dovranno poter essere recepiti da tutti i sistemi all’interno del dominio aziendale. Eventuali esclusioni dovranno essere preventivamente comunicate agli amministratori di sistema.</w:t>
      </w:r>
    </w:p>
    <w:p w:rsidR="004B7410" w:rsidRPr="004B7410" w:rsidRDefault="004B7410" w:rsidP="004B7410">
      <w:pPr>
        <w:jc w:val="both"/>
      </w:pPr>
      <w:r w:rsidRPr="004B7410">
        <w:t xml:space="preserve">Sarà </w:t>
      </w:r>
      <w:r w:rsidRPr="00B3426C">
        <w:t>inoltre installato l’antivirus aziendale che verrà</w:t>
      </w:r>
      <w:r w:rsidRPr="004B7410">
        <w:t xml:space="preserve"> mantenuto aggiornato tramite distribuzione automatica delle definizioni e di eventuali nuove versioni.</w:t>
      </w:r>
    </w:p>
    <w:p w:rsidR="004B7410" w:rsidRPr="004B7410" w:rsidRDefault="004B7410" w:rsidP="004B7410">
      <w:pPr>
        <w:jc w:val="both"/>
      </w:pPr>
      <w:r w:rsidRPr="004B7410">
        <w:t xml:space="preserve">Nel caso in cui l’aggiudicatario dovesse dichiarare incompatibilità dei propri sistemi con l’antivirus </w:t>
      </w:r>
      <w:r w:rsidR="00D37F72">
        <w:t>dell’IRCCS</w:t>
      </w:r>
      <w:r w:rsidR="00B3426C">
        <w:t xml:space="preserve"> </w:t>
      </w:r>
      <w:r w:rsidRPr="004B7410">
        <w:t xml:space="preserve">allora sarà suo obbligo la fornitura, installazione e manutenzione di un antivirus alternativo che dovrà preventivamente essere valutato ed approvato dal personale IT </w:t>
      </w:r>
      <w:r w:rsidR="00D37F72">
        <w:t>dell’IRCCS</w:t>
      </w:r>
      <w:r w:rsidRPr="004B7410">
        <w:t xml:space="preserve">. In tal caso sarà onere del fornitore la manutenzione e l’aggiornamento costante dell’antivirus per l’intera durata del contratto. </w:t>
      </w:r>
    </w:p>
    <w:p w:rsidR="004B7410" w:rsidRPr="004B7410" w:rsidRDefault="004B7410" w:rsidP="004B7410">
      <w:pPr>
        <w:jc w:val="both"/>
      </w:pPr>
      <w:r w:rsidRPr="004B7410">
        <w:t>Dovrà essere inoltre chiaramente indicata la dimensione di eventuali spazi di archiviazione esterni al sistema sia per dati on line sia per i back up del sistema.</w:t>
      </w:r>
    </w:p>
    <w:p w:rsidR="004B7410" w:rsidRPr="00CD2AC6" w:rsidRDefault="00D37F72" w:rsidP="004B7410">
      <w:pPr>
        <w:jc w:val="both"/>
        <w:rPr>
          <w:i/>
        </w:rPr>
      </w:pPr>
      <w:r w:rsidRPr="00CD2AC6">
        <w:rPr>
          <w:i/>
        </w:rPr>
        <w:t>Componenti client</w:t>
      </w:r>
    </w:p>
    <w:p w:rsidR="00D37F72" w:rsidRDefault="00D37F72" w:rsidP="00D37F72">
      <w:pPr>
        <w:jc w:val="both"/>
      </w:pPr>
      <w:r>
        <w:t xml:space="preserve">In modo del tutto analogo ai server, tutte le macchine devono poter essere inserite nel dominio aziendale ed </w:t>
      </w:r>
      <w:r w:rsidRPr="002A5C7F">
        <w:t>essere dotate di antivirus</w:t>
      </w:r>
      <w:r w:rsidR="002A5C7F" w:rsidRPr="002A5C7F">
        <w:t xml:space="preserve"> dell’IRCCS</w:t>
      </w:r>
      <w:r w:rsidRPr="002A5C7F">
        <w:t xml:space="preserve">. Non è consentito l’uso di antivirus </w:t>
      </w:r>
      <w:r w:rsidR="002A5C7F" w:rsidRPr="002A5C7F">
        <w:t>alternativi</w:t>
      </w:r>
      <w:r w:rsidRPr="002A5C7F">
        <w:t>.</w:t>
      </w:r>
    </w:p>
    <w:p w:rsidR="00D37F72" w:rsidRDefault="00D37F72" w:rsidP="00D37F72">
      <w:pPr>
        <w:jc w:val="both"/>
      </w:pPr>
      <w:r w:rsidRPr="002A5C7F">
        <w:t xml:space="preserve">I client devono essere forniti con assistenza full </w:t>
      </w:r>
      <w:proofErr w:type="spellStart"/>
      <w:r w:rsidRPr="002A5C7F">
        <w:t>risk</w:t>
      </w:r>
      <w:proofErr w:type="spellEnd"/>
      <w:r w:rsidRPr="002A5C7F">
        <w:t>.</w:t>
      </w:r>
    </w:p>
    <w:p w:rsidR="00D37F72" w:rsidRDefault="00D37F72" w:rsidP="00D37F72">
      <w:pPr>
        <w:jc w:val="both"/>
      </w:pPr>
      <w:r>
        <w:t xml:space="preserve">In caso di installazione di un eventuale software client su macchine di proprietà dell’IRCCS, o in gestione al Fleet Management, rimangono validi i requisiti precedenti, in particolare deve essere garantita la compatibilità del </w:t>
      </w:r>
      <w:r w:rsidR="007A16E4">
        <w:t>software con Windows 10 e successivi</w:t>
      </w:r>
      <w:r>
        <w:t>.</w:t>
      </w:r>
    </w:p>
    <w:p w:rsidR="00D37F72" w:rsidRDefault="00D37F72" w:rsidP="00D37F72">
      <w:pPr>
        <w:jc w:val="both"/>
      </w:pPr>
      <w:r>
        <w:t>In caso di connessione alla rete aziendale il proponente dovrà chiaramente indicarne le caratteristiche e i requisiti in termini di:</w:t>
      </w:r>
    </w:p>
    <w:p w:rsidR="00D37F72" w:rsidRDefault="00D37F72" w:rsidP="00D37F72">
      <w:pPr>
        <w:jc w:val="both"/>
      </w:pPr>
      <w:r>
        <w:lastRenderedPageBreak/>
        <w:t>- sistema operativo;</w:t>
      </w:r>
    </w:p>
    <w:p w:rsidR="00D37F72" w:rsidRDefault="00D37F72" w:rsidP="00D37F72">
      <w:pPr>
        <w:jc w:val="both"/>
      </w:pPr>
      <w:r>
        <w:t>- tipologia di indirizzamento richiesto;</w:t>
      </w:r>
    </w:p>
    <w:p w:rsidR="00D37F72" w:rsidRDefault="00D37F72" w:rsidP="00D37F72">
      <w:pPr>
        <w:jc w:val="both"/>
      </w:pPr>
      <w:r>
        <w:t>- connettività (</w:t>
      </w:r>
      <w:proofErr w:type="spellStart"/>
      <w:r>
        <w:t>wi-fi</w:t>
      </w:r>
      <w:proofErr w:type="spellEnd"/>
      <w:r>
        <w:t xml:space="preserve">, </w:t>
      </w:r>
      <w:proofErr w:type="spellStart"/>
      <w:proofErr w:type="gramStart"/>
      <w:r>
        <w:t>lan</w:t>
      </w:r>
      <w:proofErr w:type="spellEnd"/>
      <w:r>
        <w:t>,…</w:t>
      </w:r>
      <w:proofErr w:type="gramEnd"/>
      <w:r>
        <w:t>.)</w:t>
      </w:r>
    </w:p>
    <w:p w:rsidR="00D37F72" w:rsidRDefault="00D37F72" w:rsidP="00D37F72">
      <w:pPr>
        <w:jc w:val="both"/>
      </w:pPr>
      <w:r>
        <w:t xml:space="preserve">- accessibilità (interfaccia utente via web, connessioni seriali, </w:t>
      </w:r>
      <w:proofErr w:type="spellStart"/>
      <w:r>
        <w:t>etc</w:t>
      </w:r>
      <w:proofErr w:type="spellEnd"/>
      <w:r>
        <w:t>…)</w:t>
      </w:r>
    </w:p>
    <w:p w:rsidR="00D37F72" w:rsidRDefault="00D37F72" w:rsidP="00D37F72">
      <w:pPr>
        <w:jc w:val="both"/>
      </w:pPr>
      <w:r>
        <w:t>- particolari requisiti in termini di installazione.</w:t>
      </w:r>
    </w:p>
    <w:p w:rsidR="00D37F72" w:rsidRDefault="00D37F72" w:rsidP="00D37F72">
      <w:pPr>
        <w:jc w:val="both"/>
      </w:pPr>
      <w:r w:rsidRPr="007A16E4">
        <w:t xml:space="preserve">Tutte le componenti a corredo dovranno essere fornite con assistenza full </w:t>
      </w:r>
      <w:proofErr w:type="spellStart"/>
      <w:r w:rsidRPr="007A16E4">
        <w:t>risk</w:t>
      </w:r>
      <w:proofErr w:type="spellEnd"/>
      <w:r w:rsidRPr="007A16E4">
        <w:t xml:space="preserve"> per l’intera durata del contratto.</w:t>
      </w:r>
    </w:p>
    <w:p w:rsidR="00394E0E" w:rsidRDefault="00394E0E" w:rsidP="00D37F72">
      <w:pPr>
        <w:jc w:val="both"/>
      </w:pPr>
      <w:bookmarkStart w:id="0" w:name="_GoBack"/>
      <w:bookmarkEnd w:id="0"/>
      <w:r>
        <w:t>Rimane inteso che per tutte le apparecchiature per cui non sia possibile l’installazione di un antivirus e/o la join a dominio, l’aggiudicatario dovrà fornire approfondita motivazione tecnica. Inoltre al fine di tutelare la sicurezza di rete non dovrà essere possibile la navigazione internet.</w:t>
      </w:r>
    </w:p>
    <w:p w:rsidR="00000225" w:rsidRPr="00CD2AC6" w:rsidRDefault="00000225" w:rsidP="00D37F72">
      <w:pPr>
        <w:jc w:val="both"/>
        <w:rPr>
          <w:b/>
          <w:i/>
          <w:u w:val="single"/>
        </w:rPr>
      </w:pPr>
      <w:r w:rsidRPr="00CD2AC6">
        <w:rPr>
          <w:b/>
          <w:i/>
          <w:u w:val="single"/>
        </w:rPr>
        <w:t>Obblighi sulla sicurezza dei dati</w:t>
      </w:r>
    </w:p>
    <w:p w:rsidR="00000225" w:rsidRPr="00000225" w:rsidRDefault="00000225" w:rsidP="00000225">
      <w:pPr>
        <w:jc w:val="both"/>
      </w:pPr>
      <w:r w:rsidRPr="00000225">
        <w:t>Nel rispetto delle disposizioni di cui al GDPR 2016/679, la ditta dovrà descrivere la compatibilità delle appare</w:t>
      </w:r>
      <w:r>
        <w:t>cchiature offerte con le</w:t>
      </w:r>
      <w:r w:rsidRPr="00000225">
        <w:t xml:space="preserve"> disposizioni in materia di privacy, con particolare riguardo ai seguenti punti: </w:t>
      </w:r>
    </w:p>
    <w:p w:rsidR="00000225" w:rsidRPr="00000225" w:rsidRDefault="00000225" w:rsidP="00000225">
      <w:pPr>
        <w:jc w:val="both"/>
      </w:pPr>
      <w:r w:rsidRPr="00000225">
        <w:t xml:space="preserve">– Autenticazione informatica. </w:t>
      </w:r>
    </w:p>
    <w:p w:rsidR="00000225" w:rsidRPr="00000225" w:rsidRDefault="00000225" w:rsidP="00000225">
      <w:pPr>
        <w:jc w:val="both"/>
      </w:pPr>
      <w:r w:rsidRPr="00000225">
        <w:t xml:space="preserve">– Sistema di autorizzazione. </w:t>
      </w:r>
    </w:p>
    <w:p w:rsidR="00000225" w:rsidRPr="00000225" w:rsidRDefault="00000225" w:rsidP="00000225">
      <w:pPr>
        <w:jc w:val="both"/>
      </w:pPr>
      <w:r w:rsidRPr="00000225">
        <w:t xml:space="preserve">– Protezione dati e sistemi. </w:t>
      </w:r>
    </w:p>
    <w:p w:rsidR="00000225" w:rsidRPr="00000225" w:rsidRDefault="00000225" w:rsidP="00000225">
      <w:pPr>
        <w:jc w:val="both"/>
      </w:pPr>
      <w:r w:rsidRPr="00000225">
        <w:t xml:space="preserve">In sede di offerta dovrà essere fornita una descrizione dettagliata della soluzione fornita in cui si descrivono le situazioni adottate. </w:t>
      </w:r>
    </w:p>
    <w:p w:rsidR="00000225" w:rsidRPr="00000225" w:rsidRDefault="00000225" w:rsidP="00000225">
      <w:pPr>
        <w:jc w:val="both"/>
      </w:pPr>
      <w:r w:rsidRPr="00000225">
        <w:t>Sarà compito della ditta evidenziare</w:t>
      </w:r>
      <w:r>
        <w:t>,</w:t>
      </w:r>
      <w:r w:rsidRPr="00000225">
        <w:t xml:space="preserve"> nel documento redatto</w:t>
      </w:r>
      <w:r>
        <w:t>,</w:t>
      </w:r>
      <w:r w:rsidRPr="00000225">
        <w:t xml:space="preserve"> i punti richiesti dal decreto a cui non è stato possibile conformarsi e la descrizione delle motivazioni. </w:t>
      </w:r>
    </w:p>
    <w:p w:rsidR="00000225" w:rsidRDefault="00000225" w:rsidP="00000225">
      <w:pPr>
        <w:jc w:val="both"/>
      </w:pPr>
      <w:r w:rsidRPr="00000225">
        <w:t>Si precisa inoltre che, nell’ambito degli interventi tecnici del personale della ditta aggiudicataria, è demandata alla stessa ogni responsabilità in materia di privacy relativamente ai dati sensibili dei pazienti. La Ditta Aggiudicataria sarà nominata Responsabile al Trattamento Dati così come previsto dal succitato Regolamento.</w:t>
      </w:r>
    </w:p>
    <w:p w:rsidR="00CD2AC6" w:rsidRPr="001F3053" w:rsidRDefault="001F3053" w:rsidP="00000225">
      <w:pPr>
        <w:jc w:val="both"/>
        <w:rPr>
          <w:b/>
          <w:i/>
          <w:u w:val="single"/>
        </w:rPr>
      </w:pPr>
      <w:r w:rsidRPr="001F3053">
        <w:rPr>
          <w:b/>
          <w:i/>
          <w:u w:val="single"/>
        </w:rPr>
        <w:t>Assistenza remota</w:t>
      </w:r>
    </w:p>
    <w:p w:rsidR="001F3053" w:rsidRPr="001F3053" w:rsidRDefault="001F3053" w:rsidP="001F3053">
      <w:pPr>
        <w:jc w:val="both"/>
      </w:pPr>
      <w:r w:rsidRPr="001F3053">
        <w:t>Nel corso dell’esecuzione del servizio, deve essere svolto un servizio di teleassistenza tramite connessione remota via VPN per l’esecuzione di controllo proattivi, diagnosi remota dei guasti e risoluzione di eventuali problemi del software su tutte le apparecchiature per le quali la modalità sia stata prevista dal produttore. La modalità di funzionamento dovrà essere conforme a quanto previsto dal produttore, e dovrà rispettare gli standard definiti dalla Fondazione IRCCS per l’accesso in remoto alla rete.</w:t>
      </w:r>
    </w:p>
    <w:p w:rsidR="001F3053" w:rsidRPr="001F3053" w:rsidRDefault="001F3053" w:rsidP="00000225">
      <w:pPr>
        <w:jc w:val="both"/>
      </w:pPr>
    </w:p>
    <w:sectPr w:rsidR="001F3053" w:rsidRPr="001F305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410"/>
    <w:rsid w:val="00000225"/>
    <w:rsid w:val="0008091F"/>
    <w:rsid w:val="001F3053"/>
    <w:rsid w:val="00232CFC"/>
    <w:rsid w:val="002A5C7F"/>
    <w:rsid w:val="00394E0E"/>
    <w:rsid w:val="004B7410"/>
    <w:rsid w:val="004F0B03"/>
    <w:rsid w:val="007440E5"/>
    <w:rsid w:val="007A16E4"/>
    <w:rsid w:val="007C483D"/>
    <w:rsid w:val="007F391A"/>
    <w:rsid w:val="009A074E"/>
    <w:rsid w:val="00B3426C"/>
    <w:rsid w:val="00BC5F8C"/>
    <w:rsid w:val="00CA4E04"/>
    <w:rsid w:val="00CD2AC6"/>
    <w:rsid w:val="00D37F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0973F"/>
  <w15:chartTrackingRefBased/>
  <w15:docId w15:val="{4CEB8B2E-C49B-427C-B3AC-787FF35AB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xBrp2">
    <w:name w:val="TxBr_p2"/>
    <w:basedOn w:val="Normale"/>
    <w:qFormat/>
    <w:rsid w:val="004B7410"/>
    <w:pPr>
      <w:widowControl w:val="0"/>
      <w:tabs>
        <w:tab w:val="left" w:pos="204"/>
      </w:tabs>
      <w:suppressAutoHyphens/>
      <w:autoSpaceDE w:val="0"/>
      <w:spacing w:after="0" w:line="240" w:lineRule="atLeast"/>
      <w:jc w:val="both"/>
    </w:pPr>
    <w:rPr>
      <w:rFonts w:ascii="Times New Roman" w:eastAsia="Times New Roman" w:hAnsi="Times New Roman" w:cs="Times New Roman"/>
      <w:sz w:val="20"/>
      <w:szCs w:val="24"/>
      <w:lang w:val="en-US" w:eastAsia="zh-CN"/>
    </w:rPr>
  </w:style>
  <w:style w:type="paragraph" w:styleId="Rientrocorpodeltesto3">
    <w:name w:val="Body Text Indent 3"/>
    <w:basedOn w:val="Normale"/>
    <w:link w:val="Rientrocorpodeltesto3Carattere"/>
    <w:rsid w:val="001F3053"/>
    <w:pPr>
      <w:spacing w:after="0" w:line="360" w:lineRule="auto"/>
      <w:ind w:left="360"/>
      <w:jc w:val="both"/>
    </w:pPr>
    <w:rPr>
      <w:rFonts w:ascii="Arial" w:eastAsia="Times New Roman" w:hAnsi="Arial" w:cs="Times New Roman"/>
      <w:color w:val="000000"/>
      <w:sz w:val="20"/>
      <w:szCs w:val="20"/>
      <w:lang w:val="x-none" w:eastAsia="x-none"/>
    </w:rPr>
  </w:style>
  <w:style w:type="character" w:customStyle="1" w:styleId="Rientrocorpodeltesto3Carattere">
    <w:name w:val="Rientro corpo del testo 3 Carattere"/>
    <w:basedOn w:val="Carpredefinitoparagrafo"/>
    <w:link w:val="Rientrocorpodeltesto3"/>
    <w:rsid w:val="001F3053"/>
    <w:rPr>
      <w:rFonts w:ascii="Arial" w:eastAsia="Times New Roman" w:hAnsi="Arial" w:cs="Times New Roman"/>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1352</Words>
  <Characters>7712</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Azienda Socio Sanitaria Territoriale (ASST) Di Monza</Company>
  <LinksUpToDate>false</LinksUpToDate>
  <CharactersWithSpaces>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 Migliucci</dc:creator>
  <cp:keywords/>
  <dc:description/>
  <cp:lastModifiedBy>Alberto Migliucci</cp:lastModifiedBy>
  <cp:revision>11</cp:revision>
  <dcterms:created xsi:type="dcterms:W3CDTF">2023-07-21T08:26:00Z</dcterms:created>
  <dcterms:modified xsi:type="dcterms:W3CDTF">2023-09-07T08:52:00Z</dcterms:modified>
</cp:coreProperties>
</file>